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A9542" w14:textId="43376FF3" w:rsidR="007A50B1" w:rsidRPr="007A50B1" w:rsidRDefault="007A50B1" w:rsidP="007A50B1">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7A50B1">
        <w:rPr>
          <w:rFonts w:ascii="Arial" w:eastAsia="MS Mincho" w:hAnsi="Arial"/>
          <w:b/>
          <w:sz w:val="24"/>
          <w:szCs w:val="24"/>
          <w:lang w:val="de-DE" w:eastAsia="x-none"/>
        </w:rPr>
        <w:t>3GPP TSG-RAN WG2 Meeting #120</w:t>
      </w:r>
      <w:r w:rsidRPr="007A50B1">
        <w:rPr>
          <w:rFonts w:ascii="Arial" w:eastAsia="MS Mincho" w:hAnsi="Arial"/>
          <w:b/>
          <w:sz w:val="24"/>
          <w:szCs w:val="24"/>
          <w:lang w:val="de-DE" w:eastAsia="x-none"/>
        </w:rPr>
        <w:tab/>
      </w:r>
      <w:r w:rsidR="00B21B99" w:rsidRPr="00B21B99">
        <w:rPr>
          <w:rFonts w:ascii="Arial" w:eastAsia="MS Mincho" w:hAnsi="Arial"/>
          <w:b/>
          <w:sz w:val="24"/>
          <w:szCs w:val="24"/>
          <w:lang w:val="de-DE" w:eastAsia="x-none"/>
        </w:rPr>
        <w:t>R2-2211323</w:t>
      </w:r>
    </w:p>
    <w:p w14:paraId="7AACB0E2" w14:textId="1AEA45D4" w:rsidR="007A50B1" w:rsidRPr="007A50B1" w:rsidRDefault="007A50B1" w:rsidP="007A50B1">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7A50B1">
        <w:rPr>
          <w:rFonts w:ascii="Arial" w:eastAsia="MS Mincho" w:hAnsi="Arial"/>
          <w:b/>
          <w:sz w:val="24"/>
          <w:szCs w:val="24"/>
          <w:lang w:val="de-DE" w:eastAsia="x-none"/>
        </w:rPr>
        <w:t xml:space="preserve">Toulouse, France, </w:t>
      </w:r>
      <w:bookmarkStart w:id="0" w:name="OLE_LINK4"/>
      <w:r w:rsidR="00E65D23" w:rsidRPr="00B21B99">
        <w:rPr>
          <w:rFonts w:ascii="Arial" w:eastAsia="MS Mincho" w:hAnsi="Arial"/>
          <w:b/>
          <w:sz w:val="24"/>
          <w:szCs w:val="24"/>
          <w:lang w:val="de-DE" w:eastAsia="x-none"/>
        </w:rPr>
        <w:t>14</w:t>
      </w:r>
      <w:r w:rsidR="00E65D23" w:rsidRPr="00B21B99">
        <w:rPr>
          <w:rFonts w:ascii="Arial" w:eastAsia="MS Mincho" w:hAnsi="Arial"/>
          <w:b/>
          <w:sz w:val="24"/>
          <w:szCs w:val="24"/>
          <w:vertAlign w:val="superscript"/>
          <w:lang w:val="de-DE" w:eastAsia="x-none"/>
        </w:rPr>
        <w:t>th</w:t>
      </w:r>
      <w:r w:rsidR="00E65D23" w:rsidRPr="00B21B99">
        <w:rPr>
          <w:rFonts w:ascii="Arial" w:eastAsia="MS Mincho" w:hAnsi="Arial"/>
          <w:b/>
          <w:sz w:val="24"/>
          <w:szCs w:val="24"/>
          <w:lang w:val="de-DE" w:eastAsia="x-none"/>
        </w:rPr>
        <w:t xml:space="preserve"> – 18</w:t>
      </w:r>
      <w:r w:rsidR="00E65D23" w:rsidRPr="00B21B99">
        <w:rPr>
          <w:rFonts w:ascii="Arial" w:eastAsia="MS Mincho" w:hAnsi="Arial"/>
          <w:b/>
          <w:sz w:val="24"/>
          <w:szCs w:val="24"/>
          <w:vertAlign w:val="superscript"/>
          <w:lang w:val="de-DE" w:eastAsia="x-none"/>
        </w:rPr>
        <w:t>th</w:t>
      </w:r>
      <w:bookmarkEnd w:id="0"/>
      <w:r w:rsidR="00E65D23" w:rsidRPr="00B21B99">
        <w:rPr>
          <w:rFonts w:ascii="Arial" w:eastAsia="MS Mincho" w:hAnsi="Arial"/>
          <w:b/>
          <w:sz w:val="24"/>
          <w:szCs w:val="24"/>
          <w:lang w:val="de-DE" w:eastAsia="x-none"/>
        </w:rPr>
        <w:t xml:space="preserve"> </w:t>
      </w:r>
      <w:r w:rsidRPr="007A50B1">
        <w:rPr>
          <w:rFonts w:ascii="Arial" w:eastAsia="MS Mincho" w:hAnsi="Arial"/>
          <w:b/>
          <w:sz w:val="24"/>
          <w:szCs w:val="24"/>
          <w:lang w:val="de-DE" w:eastAsia="x-none"/>
        </w:rPr>
        <w:t>November, 2022</w:t>
      </w:r>
    </w:p>
    <w:p w14:paraId="2B7D6F15" w14:textId="2DB865EA"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5F772B70" w14:textId="346D30FF"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7DA0D8BF"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FB3D4A">
        <w:rPr>
          <w:rFonts w:ascii="Arial" w:hAnsi="Arial" w:cs="Arial" w:hint="eastAsia"/>
          <w:b/>
          <w:bCs/>
          <w:sz w:val="24"/>
          <w:szCs w:val="24"/>
          <w:lang w:val="en-US" w:eastAsia="en-US"/>
        </w:rPr>
        <w:t>Discussion</w:t>
      </w:r>
      <w:r w:rsidR="00FB3D4A">
        <w:rPr>
          <w:rFonts w:ascii="Arial" w:hAnsi="Arial" w:cs="Arial"/>
          <w:b/>
          <w:bCs/>
          <w:sz w:val="24"/>
          <w:szCs w:val="24"/>
          <w:lang w:val="en-US" w:eastAsia="en-US"/>
        </w:rPr>
        <w:t xml:space="preserve"> </w:t>
      </w:r>
      <w:r w:rsidR="00FB3D4A">
        <w:rPr>
          <w:rFonts w:ascii="Arial" w:hAnsi="Arial" w:cs="Arial" w:hint="eastAsia"/>
          <w:b/>
          <w:bCs/>
          <w:sz w:val="24"/>
          <w:szCs w:val="24"/>
          <w:lang w:val="en-US" w:eastAsia="en-US"/>
        </w:rPr>
        <w:t>on</w:t>
      </w:r>
      <w:r w:rsidR="00FB3D4A">
        <w:rPr>
          <w:rFonts w:ascii="Arial" w:hAnsi="Arial" w:cs="Arial"/>
          <w:b/>
          <w:bCs/>
          <w:sz w:val="24"/>
          <w:szCs w:val="24"/>
          <w:lang w:val="en-US" w:eastAsia="en-US"/>
        </w:rPr>
        <w:t xml:space="preserve"> </w:t>
      </w:r>
      <w:bookmarkStart w:id="1" w:name="_Hlk115182917"/>
      <w:r w:rsidR="00E65D23" w:rsidRPr="00E65D23">
        <w:rPr>
          <w:rFonts w:ascii="Arial" w:hAnsi="Arial" w:cs="Arial"/>
          <w:b/>
          <w:bCs/>
          <w:sz w:val="24"/>
          <w:szCs w:val="24"/>
          <w:lang w:val="en-US" w:eastAsia="en-US"/>
        </w:rPr>
        <w:t>cell reselection enhancement in NR NTN</w:t>
      </w:r>
      <w:r w:rsidR="00FB3D4A">
        <w:rPr>
          <w:rFonts w:ascii="Arial" w:hAnsi="Arial" w:cs="Arial"/>
          <w:b/>
          <w:bCs/>
          <w:sz w:val="24"/>
          <w:szCs w:val="24"/>
          <w:lang w:val="en-US" w:eastAsia="en-US"/>
        </w:rPr>
        <w:t xml:space="preserve"> </w:t>
      </w:r>
      <w:bookmarkEnd w:id="1"/>
    </w:p>
    <w:p w14:paraId="638AB84F" w14:textId="528BBFC0"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FB3D4A">
        <w:rPr>
          <w:rFonts w:ascii="Arial" w:hAnsi="Arial" w:cs="Arial"/>
          <w:b/>
          <w:bCs/>
          <w:sz w:val="24"/>
          <w:szCs w:val="24"/>
          <w:lang w:val="en-US" w:eastAsia="en-US"/>
        </w:rPr>
        <w:t>8.7.4</w:t>
      </w:r>
      <w:r w:rsidR="007A50B1">
        <w:rPr>
          <w:rFonts w:ascii="Arial" w:hAnsi="Arial" w:cs="Arial"/>
          <w:b/>
          <w:bCs/>
          <w:sz w:val="24"/>
          <w:szCs w:val="24"/>
          <w:lang w:val="en-US" w:eastAsia="en-US"/>
        </w:rPr>
        <w:t>.1</w:t>
      </w:r>
    </w:p>
    <w:p w14:paraId="5BCDAD1A" w14:textId="77777777"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BB3A6C">
      <w:pPr>
        <w:pStyle w:val="1"/>
        <w:tabs>
          <w:tab w:val="clear" w:pos="432"/>
          <w:tab w:val="left" w:pos="567"/>
        </w:tabs>
        <w:spacing w:before="180" w:line="240" w:lineRule="auto"/>
        <w:ind w:left="0" w:firstLine="0"/>
        <w:jc w:val="left"/>
      </w:pPr>
      <w:bookmarkStart w:id="2" w:name="_Ref165266342"/>
      <w:r w:rsidRPr="009674AC">
        <w:t>Introduction</w:t>
      </w:r>
      <w:bookmarkEnd w:id="2"/>
    </w:p>
    <w:p w14:paraId="02E1675F" w14:textId="275E996F" w:rsidR="004C1978" w:rsidRDefault="001C6BCB" w:rsidP="004C1978">
      <w:pPr>
        <w:rPr>
          <w:rStyle w:val="a9"/>
          <w:rFonts w:ascii="Times New Roman" w:hAnsi="Times New Roman"/>
        </w:rPr>
      </w:pPr>
      <w:r>
        <w:rPr>
          <w:rStyle w:val="a9"/>
          <w:rFonts w:ascii="Times New Roman" w:hAnsi="Times New Roman"/>
        </w:rPr>
        <w:t xml:space="preserve">In </w:t>
      </w:r>
      <w:r>
        <w:rPr>
          <w:rStyle w:val="a9"/>
          <w:rFonts w:ascii="Times New Roman" w:hAnsi="Times New Roman" w:hint="eastAsia"/>
        </w:rPr>
        <w:t>RAN2#</w:t>
      </w:r>
      <w:r>
        <w:rPr>
          <w:rStyle w:val="a9"/>
          <w:rFonts w:ascii="Times New Roman" w:hAnsi="Times New Roman"/>
        </w:rPr>
        <w:t>119</w:t>
      </w:r>
      <w:r w:rsidR="007A50B1">
        <w:rPr>
          <w:rStyle w:val="a9"/>
          <w:rFonts w:ascii="Times New Roman" w:hAnsi="Times New Roman"/>
        </w:rPr>
        <w:t>bis-</w:t>
      </w:r>
      <w:r>
        <w:rPr>
          <w:rStyle w:val="a9"/>
          <w:rFonts w:ascii="Times New Roman" w:hAnsi="Times New Roman" w:hint="eastAsia"/>
        </w:rPr>
        <w:t>e</w:t>
      </w:r>
      <w:r>
        <w:rPr>
          <w:rStyle w:val="a9"/>
          <w:rFonts w:ascii="Times New Roman" w:hAnsi="Times New Roman"/>
        </w:rPr>
        <w:t xml:space="preserve"> [1], the </w:t>
      </w:r>
      <w:r w:rsidR="008751FA">
        <w:rPr>
          <w:rStyle w:val="a9"/>
          <w:rFonts w:ascii="Times New Roman" w:hAnsi="Times New Roman"/>
        </w:rPr>
        <w:t>following</w:t>
      </w:r>
      <w:r>
        <w:rPr>
          <w:rStyle w:val="a9"/>
          <w:rFonts w:ascii="Times New Roman" w:hAnsi="Times New Roman"/>
        </w:rPr>
        <w:t xml:space="preserve"> agreements r</w:t>
      </w:r>
      <w:r w:rsidR="004C1978">
        <w:rPr>
          <w:rStyle w:val="a9"/>
          <w:rFonts w:ascii="Times New Roman" w:hAnsi="Times New Roman"/>
        </w:rPr>
        <w:t xml:space="preserve">egarding </w:t>
      </w:r>
      <w:r w:rsidR="004C1978">
        <w:rPr>
          <w:szCs w:val="22"/>
          <w:lang w:val="en-US"/>
        </w:rPr>
        <w:t>enhancements to</w:t>
      </w:r>
      <w:r w:rsidR="00E65D23">
        <w:rPr>
          <w:szCs w:val="22"/>
          <w:lang w:val="en-US"/>
        </w:rPr>
        <w:t xml:space="preserve"> cell reselection</w:t>
      </w:r>
      <w:r>
        <w:rPr>
          <w:rStyle w:val="a9"/>
          <w:rFonts w:ascii="Times New Roman" w:hAnsi="Times New Roman"/>
        </w:rPr>
        <w:t xml:space="preserve"> </w:t>
      </w:r>
      <w:r w:rsidR="00E65D23">
        <w:rPr>
          <w:rStyle w:val="a9"/>
          <w:rFonts w:ascii="Times New Roman" w:hAnsi="Times New Roman"/>
        </w:rPr>
        <w:t xml:space="preserve">procedure </w:t>
      </w:r>
      <w:r w:rsidR="004C1978">
        <w:rPr>
          <w:rStyle w:val="a9"/>
          <w:rFonts w:ascii="Times New Roman" w:hAnsi="Times New Roman"/>
        </w:rPr>
        <w:t>were achieved:</w:t>
      </w:r>
    </w:p>
    <w:p w14:paraId="36180463" w14:textId="77777777" w:rsidR="008751FA" w:rsidRPr="008751FA" w:rsidRDefault="008751FA" w:rsidP="008751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 w:val="20"/>
          <w:szCs w:val="24"/>
          <w:lang w:eastAsia="en-GB"/>
        </w:rPr>
      </w:pPr>
      <w:r w:rsidRPr="008751FA">
        <w:rPr>
          <w:rFonts w:ascii="Arial" w:eastAsia="MS Mincho" w:hAnsi="Arial"/>
          <w:sz w:val="20"/>
          <w:szCs w:val="24"/>
          <w:lang w:eastAsia="en-GB"/>
        </w:rPr>
        <w:t>Agreements:</w:t>
      </w:r>
    </w:p>
    <w:p w14:paraId="526D0B4D" w14:textId="77777777" w:rsidR="008751FA" w:rsidRPr="008751FA" w:rsidRDefault="008751FA" w:rsidP="008751FA">
      <w:pPr>
        <w:numPr>
          <w:ilvl w:val="0"/>
          <w:numId w:val="4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 w:val="20"/>
          <w:szCs w:val="24"/>
          <w:lang w:eastAsia="en-GB"/>
        </w:rPr>
      </w:pPr>
      <w:r w:rsidRPr="008751FA">
        <w:rPr>
          <w:rFonts w:ascii="Arial" w:eastAsia="MS Mincho" w:hAnsi="Arial"/>
          <w:sz w:val="20"/>
          <w:szCs w:val="24"/>
          <w:lang w:eastAsia="en-GB"/>
        </w:rPr>
        <w:t xml:space="preserve">For NTN-NTN cell reselection with earth moving cell, RAN2 will consider providing parameters of serving cell </w:t>
      </w:r>
      <w:proofErr w:type="gramStart"/>
      <w:r w:rsidRPr="008751FA">
        <w:rPr>
          <w:rFonts w:ascii="Arial" w:eastAsia="MS Mincho" w:hAnsi="Arial"/>
          <w:sz w:val="20"/>
          <w:szCs w:val="24"/>
          <w:lang w:eastAsia="en-GB"/>
        </w:rPr>
        <w:t>to  UE</w:t>
      </w:r>
      <w:proofErr w:type="gramEnd"/>
      <w:r w:rsidRPr="008751FA">
        <w:rPr>
          <w:rFonts w:ascii="Arial" w:eastAsia="MS Mincho" w:hAnsi="Arial"/>
          <w:sz w:val="20"/>
          <w:szCs w:val="24"/>
          <w:lang w:eastAsia="en-GB"/>
        </w:rPr>
        <w:t>, for UE to estimate when the serving cell stops providing coverage at the present UE location (FFS whether this will be an optional UE feature) (this does not exclude any time-based or location-based approach) (other solutions can also be considered)</w:t>
      </w:r>
    </w:p>
    <w:p w14:paraId="3C5771CC" w14:textId="77777777" w:rsidR="008751FA" w:rsidRPr="008751FA" w:rsidRDefault="008751FA" w:rsidP="008751FA">
      <w:pPr>
        <w:numPr>
          <w:ilvl w:val="0"/>
          <w:numId w:val="4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 w:val="20"/>
          <w:szCs w:val="24"/>
          <w:lang w:eastAsia="en-GB"/>
        </w:rPr>
      </w:pPr>
      <w:r w:rsidRPr="008751FA">
        <w:rPr>
          <w:rFonts w:ascii="Arial" w:eastAsia="MS Mincho" w:hAnsi="Arial"/>
          <w:sz w:val="20"/>
          <w:szCs w:val="24"/>
          <w:lang w:eastAsia="en-GB"/>
        </w:rPr>
        <w:t>To enhance NTN-TN cell reselection, means are defined for a UE to differentiate when camping in an area only covered by NTN network (earth-moving or earth-fixed) vs an area where TN network(s) is/are also available.</w:t>
      </w:r>
    </w:p>
    <w:p w14:paraId="01B57D60" w14:textId="77777777" w:rsidR="008751FA" w:rsidRPr="008751FA" w:rsidRDefault="008751FA" w:rsidP="008751FA">
      <w:pP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p>
    <w:p w14:paraId="0E235239" w14:textId="77777777" w:rsidR="008751FA" w:rsidRPr="008751FA" w:rsidRDefault="008751FA" w:rsidP="008751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 w:val="20"/>
          <w:szCs w:val="24"/>
          <w:lang w:eastAsia="en-GB"/>
        </w:rPr>
      </w:pPr>
      <w:r w:rsidRPr="008751FA">
        <w:rPr>
          <w:rFonts w:ascii="Arial" w:eastAsia="MS Mincho" w:hAnsi="Arial"/>
          <w:sz w:val="20"/>
          <w:szCs w:val="24"/>
          <w:lang w:eastAsia="en-GB"/>
        </w:rPr>
        <w:t>Agreements:</w:t>
      </w:r>
    </w:p>
    <w:p w14:paraId="7C16034F" w14:textId="77777777" w:rsidR="008751FA" w:rsidRPr="008751FA" w:rsidRDefault="008751FA" w:rsidP="008751FA">
      <w:pPr>
        <w:numPr>
          <w:ilvl w:val="0"/>
          <w:numId w:val="4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 w:val="20"/>
          <w:szCs w:val="24"/>
          <w:lang w:eastAsia="en-GB"/>
        </w:rPr>
      </w:pPr>
      <w:r w:rsidRPr="008751FA">
        <w:rPr>
          <w:rFonts w:ascii="Arial" w:eastAsia="MS Mincho" w:hAnsi="Arial"/>
          <w:sz w:val="20"/>
          <w:szCs w:val="24"/>
          <w:lang w:eastAsia="en-GB"/>
        </w:rPr>
        <w:t>System information is the basic means for providing necessary parameters to assist UE to estimate when the serving cell stops providing coverage at the present UE location.</w:t>
      </w:r>
    </w:p>
    <w:p w14:paraId="7389ED26" w14:textId="77777777" w:rsidR="008751FA" w:rsidRPr="008751FA" w:rsidRDefault="008751FA" w:rsidP="008751FA">
      <w:pPr>
        <w:numPr>
          <w:ilvl w:val="0"/>
          <w:numId w:val="4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 w:val="20"/>
          <w:szCs w:val="24"/>
          <w:lang w:eastAsia="en-GB"/>
        </w:rPr>
      </w:pPr>
      <w:r w:rsidRPr="008751FA">
        <w:rPr>
          <w:rFonts w:ascii="Arial" w:eastAsia="MS Mincho" w:hAnsi="Arial"/>
          <w:sz w:val="20"/>
          <w:szCs w:val="24"/>
          <w:lang w:eastAsia="en-GB"/>
        </w:rPr>
        <w:t>UE is not required to perform neighbour cell measurements for TN neighbour cells in an area where there is no TN network coverage.</w:t>
      </w:r>
    </w:p>
    <w:p w14:paraId="0D5BC9F6" w14:textId="77777777" w:rsidR="008751FA" w:rsidRPr="008751FA" w:rsidRDefault="008751FA" w:rsidP="008751FA">
      <w:pPr>
        <w:numPr>
          <w:ilvl w:val="0"/>
          <w:numId w:val="4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 w:val="20"/>
          <w:szCs w:val="24"/>
          <w:lang w:eastAsia="en-GB"/>
        </w:rPr>
      </w:pPr>
      <w:r w:rsidRPr="008751FA">
        <w:rPr>
          <w:rFonts w:ascii="Arial" w:eastAsia="MS Mincho" w:hAnsi="Arial"/>
          <w:sz w:val="20"/>
          <w:szCs w:val="24"/>
          <w:lang w:eastAsia="en-GB"/>
        </w:rPr>
        <w:t>The method of detecting the transmission energy or SIB presence to determine the NTN coverage when a UE currently camps on a TN cell is not pursued.</w:t>
      </w:r>
    </w:p>
    <w:p w14:paraId="155F9F49" w14:textId="77777777" w:rsidR="008751FA" w:rsidRPr="008751FA" w:rsidRDefault="008751FA" w:rsidP="008751FA">
      <w:pPr>
        <w:numPr>
          <w:ilvl w:val="0"/>
          <w:numId w:val="4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 w:val="20"/>
          <w:szCs w:val="24"/>
          <w:lang w:eastAsia="en-GB"/>
        </w:rPr>
      </w:pPr>
      <w:bookmarkStart w:id="3" w:name="_Hlk118129906"/>
      <w:r w:rsidRPr="008751FA">
        <w:rPr>
          <w:rFonts w:ascii="Arial" w:eastAsia="MS Mincho" w:hAnsi="Arial"/>
          <w:sz w:val="20"/>
          <w:szCs w:val="24"/>
          <w:lang w:eastAsia="en-GB"/>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bookmarkEnd w:id="3"/>
    <w:p w14:paraId="4F090ADF" w14:textId="34DF819A" w:rsidR="007460A6" w:rsidRDefault="007E1288" w:rsidP="00A2306E">
      <w:pPr>
        <w:spacing w:before="240"/>
        <w:rPr>
          <w:rStyle w:val="a9"/>
          <w:rFonts w:ascii="Times New Roman" w:hAnsi="Times New Roman"/>
        </w:rPr>
      </w:pPr>
      <w:r>
        <w:rPr>
          <w:rStyle w:val="a9"/>
          <w:rFonts w:ascii="Times New Roman" w:hAnsi="Times New Roman" w:hint="eastAsia"/>
        </w:rPr>
        <w:t>I</w:t>
      </w:r>
      <w:r>
        <w:rPr>
          <w:rStyle w:val="a9"/>
          <w:rFonts w:ascii="Times New Roman" w:hAnsi="Times New Roman"/>
        </w:rPr>
        <w:t xml:space="preserve">n this contribution, we provide our analyses and proposals to resolve the remaining issues on </w:t>
      </w:r>
      <w:r w:rsidR="00E65D23">
        <w:rPr>
          <w:rStyle w:val="a9"/>
          <w:rFonts w:ascii="Times New Roman" w:hAnsi="Times New Roman"/>
        </w:rPr>
        <w:t>cell reselection enhancement</w:t>
      </w:r>
      <w:r>
        <w:rPr>
          <w:rStyle w:val="a9"/>
          <w:rFonts w:ascii="Times New Roman" w:hAnsi="Times New Roman"/>
        </w:rPr>
        <w:t>,</w:t>
      </w:r>
      <w:r>
        <w:rPr>
          <w:rStyle w:val="a9"/>
          <w:rFonts w:ascii="Times New Roman" w:hAnsi="Times New Roman" w:hint="eastAsia"/>
        </w:rPr>
        <w:t xml:space="preserve"> </w:t>
      </w:r>
      <w:r w:rsidR="007460A6">
        <w:rPr>
          <w:rStyle w:val="a9"/>
          <w:rFonts w:ascii="Times New Roman" w:hAnsi="Times New Roman"/>
        </w:rPr>
        <w:t>mainly including the following three aspects:</w:t>
      </w:r>
    </w:p>
    <w:p w14:paraId="4359A142" w14:textId="5FBBD21D" w:rsidR="007460A6" w:rsidRDefault="007460A6" w:rsidP="007460A6">
      <w:pPr>
        <w:numPr>
          <w:ilvl w:val="0"/>
          <w:numId w:val="37"/>
        </w:numPr>
        <w:spacing w:before="180"/>
        <w:rPr>
          <w:rStyle w:val="a9"/>
          <w:rFonts w:ascii="Times New Roman" w:hAnsi="Times New Roman"/>
        </w:rPr>
      </w:pPr>
      <w:r>
        <w:rPr>
          <w:rStyle w:val="a9"/>
          <w:rFonts w:ascii="Times New Roman" w:hAnsi="Times New Roman"/>
        </w:rPr>
        <w:t xml:space="preserve">Location-based cell reselection </w:t>
      </w:r>
      <w:r w:rsidR="00E65D23">
        <w:rPr>
          <w:rStyle w:val="a9"/>
          <w:rFonts w:ascii="Times New Roman" w:hAnsi="Times New Roman"/>
        </w:rPr>
        <w:t xml:space="preserve">enhancement </w:t>
      </w:r>
      <w:r>
        <w:rPr>
          <w:rStyle w:val="a9"/>
          <w:rFonts w:ascii="Times New Roman" w:hAnsi="Times New Roman"/>
        </w:rPr>
        <w:t>for earth-moving cell;</w:t>
      </w:r>
    </w:p>
    <w:p w14:paraId="064FE21F" w14:textId="365FD436" w:rsidR="007460A6" w:rsidRDefault="007460A6" w:rsidP="007460A6">
      <w:pPr>
        <w:numPr>
          <w:ilvl w:val="0"/>
          <w:numId w:val="37"/>
        </w:numPr>
        <w:spacing w:before="180"/>
        <w:rPr>
          <w:rStyle w:val="a9"/>
          <w:rFonts w:ascii="Times New Roman" w:hAnsi="Times New Roman"/>
        </w:rPr>
      </w:pPr>
      <w:r>
        <w:rPr>
          <w:rStyle w:val="a9"/>
          <w:rFonts w:ascii="Times New Roman" w:hAnsi="Times New Roman"/>
        </w:rPr>
        <w:t xml:space="preserve">Time-based cell reselection </w:t>
      </w:r>
      <w:r w:rsidR="00E65D23">
        <w:rPr>
          <w:rStyle w:val="a9"/>
          <w:rFonts w:ascii="Times New Roman" w:hAnsi="Times New Roman"/>
        </w:rPr>
        <w:t xml:space="preserve">enhancement </w:t>
      </w:r>
      <w:r>
        <w:rPr>
          <w:rStyle w:val="a9"/>
          <w:rFonts w:ascii="Times New Roman" w:hAnsi="Times New Roman"/>
        </w:rPr>
        <w:t>for earth-moving cell;</w:t>
      </w:r>
    </w:p>
    <w:p w14:paraId="3A15105F" w14:textId="7C287BA5" w:rsidR="007460A6" w:rsidRPr="007460A6" w:rsidRDefault="007460A6" w:rsidP="007460A6">
      <w:pPr>
        <w:numPr>
          <w:ilvl w:val="0"/>
          <w:numId w:val="37"/>
        </w:numPr>
        <w:spacing w:before="180"/>
        <w:rPr>
          <w:rStyle w:val="a9"/>
          <w:rFonts w:ascii="Times New Roman" w:hAnsi="Times New Roman"/>
        </w:rPr>
      </w:pPr>
      <w:r>
        <w:rPr>
          <w:rStyle w:val="a9"/>
          <w:rFonts w:ascii="Times New Roman" w:hAnsi="Times New Roman"/>
        </w:rPr>
        <w:t>P</w:t>
      </w:r>
      <w:r w:rsidRPr="007460A6">
        <w:rPr>
          <w:rStyle w:val="a9"/>
          <w:rFonts w:ascii="Times New Roman" w:hAnsi="Times New Roman"/>
        </w:rPr>
        <w:t>ower saving for the NTN-TN mobility</w:t>
      </w:r>
      <w:r>
        <w:rPr>
          <w:rStyle w:val="a9"/>
          <w:rFonts w:ascii="Times New Roman" w:hAnsi="Times New Roman"/>
        </w:rPr>
        <w:t>.</w:t>
      </w:r>
    </w:p>
    <w:p w14:paraId="681A8908" w14:textId="31AB6EDC" w:rsidR="003C7417" w:rsidRDefault="00505CF9" w:rsidP="00BB3A6C">
      <w:pPr>
        <w:pStyle w:val="1"/>
        <w:tabs>
          <w:tab w:val="clear" w:pos="432"/>
          <w:tab w:val="left" w:pos="567"/>
        </w:tabs>
        <w:spacing w:before="180" w:line="240" w:lineRule="auto"/>
        <w:ind w:left="0" w:firstLine="0"/>
        <w:jc w:val="left"/>
      </w:pPr>
      <w:r w:rsidRPr="009674AC">
        <w:t>Discussion</w:t>
      </w:r>
    </w:p>
    <w:p w14:paraId="06CFC36F" w14:textId="596531E8" w:rsidR="00E265E5" w:rsidRPr="007E1288" w:rsidRDefault="00E265E5" w:rsidP="007E1288">
      <w:pPr>
        <w:pStyle w:val="2"/>
        <w:tabs>
          <w:tab w:val="clear" w:pos="1002"/>
        </w:tabs>
        <w:ind w:left="567"/>
        <w:rPr>
          <w:rStyle w:val="a9"/>
          <w:rFonts w:ascii="Arial" w:hAnsi="Arial"/>
        </w:rPr>
      </w:pPr>
      <w:r w:rsidRPr="007E1288">
        <w:rPr>
          <w:rStyle w:val="a9"/>
          <w:rFonts w:ascii="Arial" w:hAnsi="Arial" w:cs="Arial"/>
        </w:rPr>
        <w:t>Location-based cell reselection for earth-moving cell</w:t>
      </w:r>
    </w:p>
    <w:p w14:paraId="24035165" w14:textId="5529051F" w:rsidR="0098055B" w:rsidRPr="0098055B" w:rsidRDefault="0098055B" w:rsidP="001844E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642" w:hanging="500"/>
        <w:jc w:val="left"/>
        <w:textAlignment w:val="auto"/>
        <w:rPr>
          <w:rFonts w:ascii="Arial" w:eastAsia="MS Mincho" w:hAnsi="Arial"/>
          <w:sz w:val="20"/>
          <w:szCs w:val="24"/>
          <w:lang w:eastAsia="en-GB"/>
        </w:rPr>
      </w:pPr>
      <w:r>
        <w:rPr>
          <w:rFonts w:ascii="Arial" w:eastAsia="MS Mincho" w:hAnsi="Arial"/>
          <w:sz w:val="20"/>
          <w:szCs w:val="24"/>
          <w:lang w:eastAsia="en-GB"/>
        </w:rPr>
        <w:t xml:space="preserve">4.   </w:t>
      </w:r>
      <w:r w:rsidRPr="008751FA">
        <w:rPr>
          <w:rFonts w:ascii="Arial" w:eastAsia="MS Mincho" w:hAnsi="Arial"/>
          <w:sz w:val="20"/>
          <w:szCs w:val="24"/>
          <w:lang w:eastAsia="en-GB"/>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14:paraId="20EB1883" w14:textId="6341511D" w:rsidR="000D6A34" w:rsidRDefault="007E1288" w:rsidP="00EC1162">
      <w:pPr>
        <w:spacing w:before="240"/>
      </w:pPr>
      <w:r>
        <w:rPr>
          <w:rFonts w:hint="eastAsia"/>
        </w:rPr>
        <w:lastRenderedPageBreak/>
        <w:t>A</w:t>
      </w:r>
      <w:r>
        <w:t>ccording to the</w:t>
      </w:r>
      <w:r w:rsidR="00E65D23">
        <w:t xml:space="preserve"> above</w:t>
      </w:r>
      <w:r>
        <w:t xml:space="preserve"> agreements in RAN2#119bis-e</w:t>
      </w:r>
      <w:r w:rsidR="00366A40">
        <w:t xml:space="preserve">, in </w:t>
      </w:r>
      <w:r w:rsidR="00E65D23">
        <w:t xml:space="preserve">the </w:t>
      </w:r>
      <w:r w:rsidR="00366A40">
        <w:t xml:space="preserve">earth-moving cell, </w:t>
      </w:r>
      <w:r w:rsidR="00366A40" w:rsidRPr="00366A40">
        <w:t xml:space="preserve">the reference location and distance threshold of serving cell are provided by </w:t>
      </w:r>
      <w:r w:rsidR="00E65D23">
        <w:t xml:space="preserve">the </w:t>
      </w:r>
      <w:r w:rsidR="00366A40" w:rsidRPr="00366A40">
        <w:t xml:space="preserve">network </w:t>
      </w:r>
      <w:r w:rsidR="00E65D23">
        <w:t xml:space="preserve">to the </w:t>
      </w:r>
      <w:r w:rsidR="00366A40" w:rsidRPr="00366A40">
        <w:t>UE</w:t>
      </w:r>
      <w:r w:rsidR="00EC1162">
        <w:t>.</w:t>
      </w:r>
      <w:r w:rsidR="00EC1162" w:rsidRPr="00EC1162">
        <w:rPr>
          <w:rFonts w:hint="eastAsia"/>
        </w:rPr>
        <w:t xml:space="preserve"> </w:t>
      </w:r>
      <w:r w:rsidR="000D6A34">
        <w:t>I</w:t>
      </w:r>
      <w:r w:rsidR="000D6A34">
        <w:rPr>
          <w:rFonts w:hint="eastAsia"/>
        </w:rPr>
        <w:t>n</w:t>
      </w:r>
      <w:r w:rsidR="000D6A34">
        <w:t xml:space="preserve"> </w:t>
      </w:r>
      <w:r w:rsidR="000D6A34">
        <w:rPr>
          <w:rFonts w:hint="eastAsia"/>
        </w:rPr>
        <w:t>our</w:t>
      </w:r>
      <w:r w:rsidR="000D6A34">
        <w:t xml:space="preserve"> </w:t>
      </w:r>
      <w:r w:rsidR="000D6A34">
        <w:rPr>
          <w:rFonts w:hint="eastAsia"/>
        </w:rPr>
        <w:t>understanding</w:t>
      </w:r>
      <w:r w:rsidR="000D6A34">
        <w:t xml:space="preserve">, </w:t>
      </w:r>
      <w:r w:rsidR="00E65D23">
        <w:t xml:space="preserve">when </w:t>
      </w:r>
      <w:r w:rsidR="000D6A34" w:rsidRPr="00366A40">
        <w:t>reference location and distance threshold of serving cell</w:t>
      </w:r>
      <w:r w:rsidR="000D6A34">
        <w:t xml:space="preserve"> in earth-moving cell </w:t>
      </w:r>
      <w:r w:rsidR="00E65D23">
        <w:t xml:space="preserve">are </w:t>
      </w:r>
      <w:r w:rsidR="000D6A34">
        <w:t>obtained</w:t>
      </w:r>
      <w:r w:rsidR="00E65D23">
        <w:t xml:space="preserve"> by the UE, regardless of the signalling details on how these parameters are provided</w:t>
      </w:r>
      <w:r w:rsidR="00EC1162">
        <w:t xml:space="preserve">, the </w:t>
      </w:r>
      <w:r w:rsidR="00E65D23">
        <w:t xml:space="preserve">location-based </w:t>
      </w:r>
      <w:r w:rsidR="00EC1162">
        <w:t>m</w:t>
      </w:r>
      <w:r w:rsidR="00EC1162" w:rsidRPr="00EC1162">
        <w:t>easurement rules</w:t>
      </w:r>
      <w:r w:rsidR="00EC1162">
        <w:t xml:space="preserve"> </w:t>
      </w:r>
      <w:r w:rsidR="00EC1162">
        <w:rPr>
          <w:bCs/>
        </w:rPr>
        <w:t xml:space="preserve">as </w:t>
      </w:r>
      <w:r w:rsidR="00EC1162" w:rsidRPr="00B10FA8">
        <w:rPr>
          <w:bCs/>
        </w:rPr>
        <w:t xml:space="preserve">specified in Rel-17 NTN for quasi-earth fixed cell case can be reused </w:t>
      </w:r>
      <w:r w:rsidR="00EC1162">
        <w:rPr>
          <w:bCs/>
        </w:rPr>
        <w:t>in</w:t>
      </w:r>
      <w:r w:rsidR="00EC1162" w:rsidRPr="00B10FA8">
        <w:rPr>
          <w:bCs/>
        </w:rPr>
        <w:t xml:space="preserve"> the earth</w:t>
      </w:r>
      <w:r w:rsidR="00EC1162">
        <w:rPr>
          <w:bCs/>
        </w:rPr>
        <w:t>-</w:t>
      </w:r>
      <w:r w:rsidR="00EC1162" w:rsidRPr="00B10FA8">
        <w:rPr>
          <w:bCs/>
        </w:rPr>
        <w:t>moving cell case</w:t>
      </w:r>
      <w:r w:rsidR="000D6A34">
        <w:rPr>
          <w:bCs/>
        </w:rPr>
        <w:t xml:space="preserve">, </w:t>
      </w:r>
      <w:r w:rsidR="00EC1162">
        <w:t>i.e., i</w:t>
      </w:r>
      <w:r w:rsidR="00EC1162" w:rsidRPr="009D5B10">
        <w:t xml:space="preserve">f the distance between UE and the serving cell reference location is </w:t>
      </w:r>
      <w:r w:rsidR="00EC1162">
        <w:t>larger</w:t>
      </w:r>
      <w:r w:rsidR="00EC1162" w:rsidRPr="009D5B10">
        <w:t xml:space="preserve"> than </w:t>
      </w:r>
      <w:r w:rsidR="00EC1162">
        <w:t>distance threshold</w:t>
      </w:r>
      <w:r w:rsidR="00EC1162" w:rsidRPr="009D5B10">
        <w:t>, the UE</w:t>
      </w:r>
      <w:r w:rsidR="00EC1162">
        <w:t xml:space="preserve"> shall</w:t>
      </w:r>
      <w:r w:rsidR="00EC1162" w:rsidRPr="009D5B10">
        <w:t xml:space="preserve"> perform </w:t>
      </w:r>
      <w:r w:rsidR="00BE7BEB">
        <w:t>neighbour</w:t>
      </w:r>
      <w:r w:rsidR="00EC1162">
        <w:t xml:space="preserve"> cell </w:t>
      </w:r>
      <w:r w:rsidR="00EC1162" w:rsidRPr="00FB0504">
        <w:t>measurement for cell reselection</w:t>
      </w:r>
      <w:r w:rsidR="00E65D23">
        <w:t xml:space="preserve"> purpose</w:t>
      </w:r>
      <w:r w:rsidR="00EC1162">
        <w:t xml:space="preserve">. </w:t>
      </w:r>
    </w:p>
    <w:p w14:paraId="14D6AA0C" w14:textId="141E1493" w:rsidR="000D6A34" w:rsidRPr="0098055B" w:rsidRDefault="000D6A34" w:rsidP="0098055B">
      <w:pPr>
        <w:rPr>
          <w:b/>
          <w:bCs/>
        </w:rPr>
      </w:pPr>
      <w:r w:rsidRPr="0098055B">
        <w:rPr>
          <w:rFonts w:hint="eastAsia"/>
          <w:b/>
          <w:bCs/>
        </w:rPr>
        <w:t>P</w:t>
      </w:r>
      <w:r w:rsidRPr="0098055B">
        <w:rPr>
          <w:b/>
          <w:bCs/>
        </w:rPr>
        <w:t xml:space="preserve">roposal 1: </w:t>
      </w:r>
      <w:r w:rsidR="00A2306E">
        <w:rPr>
          <w:rFonts w:hint="eastAsia"/>
          <w:b/>
          <w:bCs/>
        </w:rPr>
        <w:t>For</w:t>
      </w:r>
      <w:r w:rsidRPr="0098055B">
        <w:rPr>
          <w:b/>
          <w:bCs/>
        </w:rPr>
        <w:t xml:space="preserve"> </w:t>
      </w:r>
      <w:r w:rsidR="00E65D23">
        <w:rPr>
          <w:b/>
          <w:bCs/>
        </w:rPr>
        <w:t xml:space="preserve">the </w:t>
      </w:r>
      <w:r w:rsidRPr="0098055B">
        <w:rPr>
          <w:b/>
          <w:bCs/>
        </w:rPr>
        <w:t xml:space="preserve">earth-moving cell, if the distance between </w:t>
      </w:r>
      <w:r w:rsidR="00E65D23">
        <w:rPr>
          <w:b/>
          <w:bCs/>
        </w:rPr>
        <w:t xml:space="preserve">the </w:t>
      </w:r>
      <w:r w:rsidRPr="0098055B">
        <w:rPr>
          <w:b/>
          <w:bCs/>
        </w:rPr>
        <w:t>UE and reference location</w:t>
      </w:r>
      <w:r w:rsidR="0098055B">
        <w:rPr>
          <w:b/>
          <w:bCs/>
        </w:rPr>
        <w:t xml:space="preserve"> of </w:t>
      </w:r>
      <w:r w:rsidR="00E65D23">
        <w:rPr>
          <w:b/>
          <w:bCs/>
        </w:rPr>
        <w:t xml:space="preserve">the </w:t>
      </w:r>
      <w:r w:rsidR="0098055B">
        <w:rPr>
          <w:b/>
          <w:bCs/>
        </w:rPr>
        <w:t>serving cell</w:t>
      </w:r>
      <w:r w:rsidRPr="0098055B">
        <w:rPr>
          <w:b/>
          <w:bCs/>
        </w:rPr>
        <w:t xml:space="preserve"> is larger than </w:t>
      </w:r>
      <w:r w:rsidR="00E65D23">
        <w:rPr>
          <w:b/>
          <w:bCs/>
        </w:rPr>
        <w:t xml:space="preserve">a configured </w:t>
      </w:r>
      <w:r w:rsidRPr="0098055B">
        <w:rPr>
          <w:b/>
          <w:bCs/>
        </w:rPr>
        <w:t>distance threshold</w:t>
      </w:r>
      <w:r w:rsidR="0098055B" w:rsidRPr="0098055B">
        <w:rPr>
          <w:b/>
          <w:bCs/>
        </w:rPr>
        <w:t xml:space="preserve">, </w:t>
      </w:r>
      <w:r w:rsidR="00E65D23">
        <w:rPr>
          <w:b/>
          <w:bCs/>
        </w:rPr>
        <w:t xml:space="preserve">the </w:t>
      </w:r>
      <w:r w:rsidR="0098055B" w:rsidRPr="0098055B">
        <w:rPr>
          <w:b/>
          <w:bCs/>
        </w:rPr>
        <w:t xml:space="preserve">UE shall perform </w:t>
      </w:r>
      <w:r w:rsidR="00BE7BEB">
        <w:rPr>
          <w:b/>
          <w:bCs/>
        </w:rPr>
        <w:t>neighbour</w:t>
      </w:r>
      <w:r w:rsidR="0098055B" w:rsidRPr="0098055B">
        <w:rPr>
          <w:b/>
          <w:bCs/>
        </w:rPr>
        <w:t xml:space="preserve"> cell measurement for cell reselection</w:t>
      </w:r>
      <w:r w:rsidR="00E65D23">
        <w:rPr>
          <w:b/>
          <w:bCs/>
        </w:rPr>
        <w:t xml:space="preserve"> purpose</w:t>
      </w:r>
      <w:r w:rsidRPr="0098055B">
        <w:rPr>
          <w:b/>
          <w:bCs/>
        </w:rPr>
        <w:t>.</w:t>
      </w:r>
    </w:p>
    <w:p w14:paraId="76520498" w14:textId="5589BDF7" w:rsidR="00EC1162" w:rsidRDefault="0098055B" w:rsidP="00A2306E">
      <w:pPr>
        <w:rPr>
          <w:i/>
          <w:iCs/>
        </w:rPr>
      </w:pPr>
      <w:r>
        <w:rPr>
          <w:rFonts w:hint="eastAsia"/>
        </w:rPr>
        <w:t>H</w:t>
      </w:r>
      <w:r>
        <w:t xml:space="preserve">owever, based on the agreements above, </w:t>
      </w:r>
      <w:r w:rsidR="00E65D23">
        <w:t xml:space="preserve">the signalling details on </w:t>
      </w:r>
      <w:r w:rsidRPr="0098055B">
        <w:t>how the reference location and/or distance threshold are provided to the UE</w:t>
      </w:r>
      <w:r>
        <w:t xml:space="preserve"> is</w:t>
      </w:r>
      <w:r w:rsidR="00E65D23">
        <w:t xml:space="preserve"> still left as an</w:t>
      </w:r>
      <w:r>
        <w:t xml:space="preserve"> FFS</w:t>
      </w:r>
      <w:r w:rsidR="00E65D23">
        <w:t xml:space="preserve"> point</w:t>
      </w:r>
      <w:r w:rsidR="00DE0304">
        <w:t xml:space="preserve">. For </w:t>
      </w:r>
      <w:r w:rsidR="00B21B99">
        <w:t xml:space="preserve">the </w:t>
      </w:r>
      <w:r w:rsidR="00DE0304">
        <w:t>distance threshold</w:t>
      </w:r>
      <w:r w:rsidR="004214C2">
        <w:t xml:space="preserve"> of serving cell in earth-moving cell</w:t>
      </w:r>
      <w:r w:rsidR="00DE0304">
        <w:t>,</w:t>
      </w:r>
      <w:r w:rsidR="008B1EBA">
        <w:t xml:space="preserve"> </w:t>
      </w:r>
      <w:r w:rsidR="00F713DD">
        <w:t>it can be broadcast by the network and</w:t>
      </w:r>
      <w:r w:rsidR="00EC1162">
        <w:t xml:space="preserve"> the existing </w:t>
      </w:r>
      <w:proofErr w:type="spellStart"/>
      <w:r w:rsidR="00EC1162" w:rsidRPr="00841A3E">
        <w:rPr>
          <w:i/>
          <w:iCs/>
        </w:rPr>
        <w:t>distanceThresh</w:t>
      </w:r>
      <w:proofErr w:type="spellEnd"/>
      <w:r w:rsidR="00EC1162">
        <w:rPr>
          <w:i/>
          <w:iCs/>
        </w:rPr>
        <w:t xml:space="preserve"> </w:t>
      </w:r>
      <w:r w:rsidR="00EC1162" w:rsidRPr="002B6C30">
        <w:t>IE can be re</w:t>
      </w:r>
      <w:r w:rsidR="00EC1162">
        <w:t>us</w:t>
      </w:r>
      <w:r w:rsidR="00EC1162" w:rsidRPr="002B6C30">
        <w:t>ed</w:t>
      </w:r>
      <w:r w:rsidR="00E65D23">
        <w:t xml:space="preserve"> simply</w:t>
      </w:r>
      <w:r w:rsidR="00EC1162">
        <w:rPr>
          <w:i/>
          <w:iCs/>
        </w:rPr>
        <w:t>.</w:t>
      </w:r>
    </w:p>
    <w:p w14:paraId="7FB4CCE7" w14:textId="0DC38D24" w:rsidR="009E4DED" w:rsidRPr="009E4DED" w:rsidRDefault="009E4DED" w:rsidP="00F82ED3">
      <w:r w:rsidRPr="00B43430">
        <w:rPr>
          <w:rFonts w:hint="eastAsia"/>
          <w:b/>
          <w:bCs/>
        </w:rPr>
        <w:t>P</w:t>
      </w:r>
      <w:r w:rsidRPr="00B43430">
        <w:rPr>
          <w:b/>
          <w:bCs/>
        </w:rPr>
        <w:t>roposal 2:</w:t>
      </w:r>
      <w:r w:rsidR="00B43430" w:rsidRPr="00B43430">
        <w:rPr>
          <w:b/>
          <w:bCs/>
        </w:rPr>
        <w:t xml:space="preserve"> </w:t>
      </w:r>
      <w:r w:rsidR="00BE7BEB">
        <w:rPr>
          <w:rFonts w:hint="eastAsia"/>
          <w:b/>
          <w:bCs/>
        </w:rPr>
        <w:t>For</w:t>
      </w:r>
      <w:r w:rsidR="00BE7BEB">
        <w:rPr>
          <w:b/>
          <w:bCs/>
        </w:rPr>
        <w:t xml:space="preserve"> the earth-moving cell, t</w:t>
      </w:r>
      <w:r w:rsidR="00B43430" w:rsidRPr="00EC1162">
        <w:rPr>
          <w:b/>
          <w:bCs/>
        </w:rPr>
        <w:t xml:space="preserve">he existing </w:t>
      </w:r>
      <w:r w:rsidR="007C51FB">
        <w:rPr>
          <w:b/>
          <w:bCs/>
        </w:rPr>
        <w:t xml:space="preserve">parameter </w:t>
      </w:r>
      <w:proofErr w:type="spellStart"/>
      <w:r w:rsidR="00B43430" w:rsidRPr="00EC1162">
        <w:rPr>
          <w:b/>
          <w:bCs/>
          <w:i/>
          <w:iCs/>
        </w:rPr>
        <w:t>distanceThresh</w:t>
      </w:r>
      <w:proofErr w:type="spellEnd"/>
      <w:r w:rsidR="00B43430" w:rsidRPr="00EC1162">
        <w:rPr>
          <w:b/>
          <w:bCs/>
          <w:i/>
          <w:iCs/>
        </w:rPr>
        <w:t xml:space="preserve"> </w:t>
      </w:r>
      <w:r w:rsidR="00B43430" w:rsidRPr="00EC1162">
        <w:rPr>
          <w:b/>
          <w:bCs/>
        </w:rPr>
        <w:t xml:space="preserve">can be </w:t>
      </w:r>
      <w:r w:rsidR="00F82ED3">
        <w:rPr>
          <w:b/>
          <w:bCs/>
        </w:rPr>
        <w:t xml:space="preserve">reused to provide </w:t>
      </w:r>
      <w:r w:rsidR="00E65D23">
        <w:rPr>
          <w:b/>
          <w:bCs/>
        </w:rPr>
        <w:t xml:space="preserve">the </w:t>
      </w:r>
      <w:r w:rsidR="00F82ED3">
        <w:rPr>
          <w:b/>
          <w:bCs/>
        </w:rPr>
        <w:t>distance threshold</w:t>
      </w:r>
      <w:r w:rsidR="00E65D23">
        <w:rPr>
          <w:b/>
          <w:bCs/>
        </w:rPr>
        <w:t xml:space="preserve"> for the location</w:t>
      </w:r>
      <w:r w:rsidR="007C51FB">
        <w:rPr>
          <w:b/>
          <w:bCs/>
        </w:rPr>
        <w:t>-</w:t>
      </w:r>
      <w:r w:rsidR="00E65D23">
        <w:rPr>
          <w:b/>
          <w:bCs/>
        </w:rPr>
        <w:t>based cell reselection</w:t>
      </w:r>
      <w:r w:rsidR="00B43430" w:rsidRPr="00EC1162">
        <w:rPr>
          <w:b/>
          <w:bCs/>
        </w:rPr>
        <w:t>.</w:t>
      </w:r>
    </w:p>
    <w:p w14:paraId="021FF99A" w14:textId="40CE96E4" w:rsidR="00EC1162" w:rsidRDefault="00867D3C" w:rsidP="00E77F39">
      <w:r>
        <w:t xml:space="preserve">Regarding how to signal the time-variant reference </w:t>
      </w:r>
      <w:r w:rsidR="00B21B99">
        <w:t xml:space="preserve">location </w:t>
      </w:r>
      <w:r>
        <w:t>for the earth-moving cell,</w:t>
      </w:r>
      <w:r w:rsidR="00912591">
        <w:t xml:space="preserve"> </w:t>
      </w:r>
      <w:r>
        <w:t>d</w:t>
      </w:r>
      <w:r w:rsidR="009D41D6">
        <w:t xml:space="preserve">uring the discussion in </w:t>
      </w:r>
      <w:r w:rsidR="00D9230E">
        <w:t>[2]</w:t>
      </w:r>
      <w:r w:rsidR="00D26E29">
        <w:t xml:space="preserve"> in last meeting</w:t>
      </w:r>
      <w:r w:rsidR="00B12DB1">
        <w:t xml:space="preserve">, </w:t>
      </w:r>
      <w:r w:rsidR="0090230E">
        <w:t>several</w:t>
      </w:r>
      <w:r w:rsidR="009B7361">
        <w:t xml:space="preserve"> companies proposed the</w:t>
      </w:r>
      <w:r w:rsidR="00431F01">
        <w:t xml:space="preserve"> </w:t>
      </w:r>
      <w:r w:rsidR="00B12DB1">
        <w:rPr>
          <w:rFonts w:hint="eastAsia"/>
        </w:rPr>
        <w:t>NW-based</w:t>
      </w:r>
      <w:r w:rsidR="00B12DB1">
        <w:t xml:space="preserve"> </w:t>
      </w:r>
      <w:r w:rsidR="00B12DB1">
        <w:rPr>
          <w:rFonts w:hint="eastAsia"/>
        </w:rPr>
        <w:t>solution</w:t>
      </w:r>
      <w:r w:rsidR="00B12DB1">
        <w:t xml:space="preserve"> </w:t>
      </w:r>
      <w:r w:rsidR="009B7361">
        <w:t xml:space="preserve">for the UE to determine how the </w:t>
      </w:r>
      <w:r w:rsidR="0090230E">
        <w:t>reference</w:t>
      </w:r>
      <w:r w:rsidR="009B7361">
        <w:t xml:space="preserve"> location varies </w:t>
      </w:r>
      <w:proofErr w:type="spellStart"/>
      <w:r w:rsidR="009B7361">
        <w:t>w.r.t.</w:t>
      </w:r>
      <w:proofErr w:type="spellEnd"/>
      <w:r w:rsidR="009B7361">
        <w:t xml:space="preserve"> to time, </w:t>
      </w:r>
      <w:r w:rsidR="00B12DB1">
        <w:t>i.e.,</w:t>
      </w:r>
      <w:r w:rsidR="009B7361">
        <w:t xml:space="preserve"> the </w:t>
      </w:r>
      <w:r w:rsidR="00431F01">
        <w:t>r</w:t>
      </w:r>
      <w:r w:rsidR="00272D9D">
        <w:rPr>
          <w:rFonts w:hint="eastAsia"/>
        </w:rPr>
        <w:t>eference</w:t>
      </w:r>
      <w:r w:rsidR="00272D9D">
        <w:t xml:space="preserve"> </w:t>
      </w:r>
      <w:r w:rsidR="00272D9D">
        <w:rPr>
          <w:rFonts w:hint="eastAsia"/>
        </w:rPr>
        <w:t>location</w:t>
      </w:r>
      <w:r w:rsidR="00272D9D">
        <w:t xml:space="preserve"> </w:t>
      </w:r>
      <w:r w:rsidR="009B7361">
        <w:t xml:space="preserve">is provided with </w:t>
      </w:r>
      <w:r w:rsidR="00142B77">
        <w:t xml:space="preserve">also </w:t>
      </w:r>
      <w:r w:rsidR="009B7361">
        <w:t>the</w:t>
      </w:r>
      <w:r w:rsidR="00272D9D">
        <w:t xml:space="preserve"> </w:t>
      </w:r>
      <w:r w:rsidR="00272D9D">
        <w:rPr>
          <w:rFonts w:hint="eastAsia"/>
        </w:rPr>
        <w:t>validity</w:t>
      </w:r>
      <w:r w:rsidR="00272D9D">
        <w:t xml:space="preserve"> </w:t>
      </w:r>
      <w:r w:rsidR="00272D9D">
        <w:rPr>
          <w:rFonts w:hint="eastAsia"/>
        </w:rPr>
        <w:t>time</w:t>
      </w:r>
      <w:r w:rsidR="00272D9D">
        <w:t xml:space="preserve"> </w:t>
      </w:r>
      <w:r w:rsidR="00272D9D">
        <w:rPr>
          <w:rFonts w:hint="eastAsia"/>
        </w:rPr>
        <w:t>information</w:t>
      </w:r>
      <w:r w:rsidR="00272D9D">
        <w:t xml:space="preserve"> </w:t>
      </w:r>
      <w:r w:rsidR="00142B77">
        <w:t xml:space="preserve">to track its variance </w:t>
      </w:r>
      <w:r w:rsidR="00573F1F">
        <w:t>by the network</w:t>
      </w:r>
      <w:r w:rsidR="00AA33A5">
        <w:t xml:space="preserve">, </w:t>
      </w:r>
      <w:r w:rsidR="009B7361">
        <w:t xml:space="preserve">and </w:t>
      </w:r>
      <w:r w:rsidR="00142B77">
        <w:t xml:space="preserve">the </w:t>
      </w:r>
      <w:r w:rsidR="009B7361">
        <w:t>UE updates the reference location once</w:t>
      </w:r>
      <w:r w:rsidR="0090230E">
        <w:t xml:space="preserve"> </w:t>
      </w:r>
      <w:r w:rsidR="00AA33A5">
        <w:t xml:space="preserve">the reference location </w:t>
      </w:r>
      <w:r w:rsidR="009B7361">
        <w:t xml:space="preserve">currently used becomes </w:t>
      </w:r>
      <w:r w:rsidR="00AA33A5">
        <w:t>is invalid.</w:t>
      </w:r>
      <w:r w:rsidR="0077231F">
        <w:t xml:space="preserve"> This NW-based solution is simple and straightforward, with the UE sim</w:t>
      </w:r>
      <w:r w:rsidR="0090230E">
        <w:t>p</w:t>
      </w:r>
      <w:r w:rsidR="0077231F">
        <w:t>ly needing to follow the NW indication on how to update the reference location, and we prefer such a NW-based solution to the solution that requires the UE to derive/update the time-variant reference location based on the satellite ephemeris autonomously.</w:t>
      </w:r>
    </w:p>
    <w:p w14:paraId="2BCF9352" w14:textId="507F8BF5" w:rsidR="00D9230E" w:rsidRDefault="00721F75" w:rsidP="00E77F39">
      <w:r>
        <w:t xml:space="preserve">With respect to </w:t>
      </w:r>
      <w:r w:rsidR="0077231F">
        <w:t xml:space="preserve">the signalling details on </w:t>
      </w:r>
      <w:r>
        <w:t>how r</w:t>
      </w:r>
      <w:r>
        <w:rPr>
          <w:rFonts w:hint="eastAsia"/>
        </w:rPr>
        <w:t>eference</w:t>
      </w:r>
      <w:r>
        <w:t xml:space="preserve"> </w:t>
      </w:r>
      <w:r>
        <w:rPr>
          <w:rFonts w:hint="eastAsia"/>
        </w:rPr>
        <w:t>location</w:t>
      </w:r>
      <w:r>
        <w:t xml:space="preserve"> </w:t>
      </w:r>
      <w:r>
        <w:rPr>
          <w:rFonts w:hint="eastAsia"/>
        </w:rPr>
        <w:t>and</w:t>
      </w:r>
      <w:r>
        <w:t xml:space="preserve"> </w:t>
      </w:r>
      <w:r>
        <w:rPr>
          <w:rFonts w:hint="eastAsia"/>
        </w:rPr>
        <w:t>its</w:t>
      </w:r>
      <w:r>
        <w:t xml:space="preserve"> </w:t>
      </w:r>
      <w:r>
        <w:rPr>
          <w:rFonts w:hint="eastAsia"/>
        </w:rPr>
        <w:t>validity</w:t>
      </w:r>
      <w:r>
        <w:t xml:space="preserve"> </w:t>
      </w:r>
      <w:r>
        <w:rPr>
          <w:rFonts w:hint="eastAsia"/>
        </w:rPr>
        <w:t>time</w:t>
      </w:r>
      <w:r>
        <w:t xml:space="preserve"> </w:t>
      </w:r>
      <w:r>
        <w:rPr>
          <w:rFonts w:hint="eastAsia"/>
        </w:rPr>
        <w:t>information</w:t>
      </w:r>
      <w:r>
        <w:t xml:space="preserve"> are provided, there </w:t>
      </w:r>
      <w:r w:rsidR="0077231F">
        <w:t xml:space="preserve">were </w:t>
      </w:r>
      <w:r>
        <w:t xml:space="preserve">two </w:t>
      </w:r>
      <w:r w:rsidR="00F1411A">
        <w:t>ways</w:t>
      </w:r>
      <w:r w:rsidR="0077231F">
        <w:t xml:space="preserve"> proposed by companies in [2]</w:t>
      </w:r>
      <w:r w:rsidR="00816C57">
        <w:t xml:space="preserve">. </w:t>
      </w:r>
      <w:r w:rsidR="000F5D82">
        <w:t>As</w:t>
      </w:r>
      <w:r w:rsidR="00816C57" w:rsidRPr="00816C57">
        <w:t xml:space="preserve"> one </w:t>
      </w:r>
      <w:r w:rsidR="000F5D82">
        <w:t xml:space="preserve">possible </w:t>
      </w:r>
      <w:r w:rsidR="00816C57" w:rsidRPr="00816C57">
        <w:t xml:space="preserve">way, the network provides </w:t>
      </w:r>
      <w:r w:rsidR="00FA6489">
        <w:t xml:space="preserve">a </w:t>
      </w:r>
      <w:r w:rsidR="00277901">
        <w:t>series</w:t>
      </w:r>
      <w:r w:rsidR="00FA6489">
        <w:t xml:space="preserve"> of </w:t>
      </w:r>
      <w:r w:rsidR="00816C57" w:rsidRPr="00816C57">
        <w:t xml:space="preserve">multiple reference </w:t>
      </w:r>
      <w:r w:rsidR="00816C57">
        <w:t>location</w:t>
      </w:r>
      <w:r w:rsidR="000F5D82">
        <w:t xml:space="preserve"> </w:t>
      </w:r>
      <w:r w:rsidR="00FA6489">
        <w:t>values</w:t>
      </w:r>
      <w:r w:rsidR="00816C57" w:rsidRPr="00816C57">
        <w:t xml:space="preserve"> </w:t>
      </w:r>
      <w:r w:rsidR="000F5D82">
        <w:t>each of which is associated with the validity time that it applies</w:t>
      </w:r>
      <w:r w:rsidR="0090230E">
        <w:t xml:space="preserve"> </w:t>
      </w:r>
      <w:r w:rsidR="00816C57" w:rsidRPr="00816C57">
        <w:t>at</w:t>
      </w:r>
      <w:r w:rsidR="000F5D82">
        <w:t xml:space="preserve"> one</w:t>
      </w:r>
      <w:r w:rsidR="00816C57" w:rsidRPr="00816C57">
        <w:t xml:space="preserve"> time, and the </w:t>
      </w:r>
      <w:r w:rsidR="00816C57">
        <w:t>UE</w:t>
      </w:r>
      <w:r w:rsidR="00816C57" w:rsidRPr="00816C57">
        <w:t xml:space="preserve"> determines the reference </w:t>
      </w:r>
      <w:r w:rsidR="00816C57">
        <w:t>location</w:t>
      </w:r>
      <w:r w:rsidR="00816C57" w:rsidRPr="00816C57">
        <w:t xml:space="preserve"> based on the current time</w:t>
      </w:r>
      <w:r w:rsidR="000F5D82">
        <w:t>. AS the other possible</w:t>
      </w:r>
      <w:r w:rsidR="0090230E">
        <w:t xml:space="preserve"> </w:t>
      </w:r>
      <w:r w:rsidR="008B52ED" w:rsidRPr="008B52ED">
        <w:t>way, the network provides one reference</w:t>
      </w:r>
      <w:r w:rsidR="008B52ED">
        <w:t xml:space="preserve"> location</w:t>
      </w:r>
      <w:r w:rsidR="008B52ED" w:rsidRPr="008B52ED">
        <w:t xml:space="preserve"> and </w:t>
      </w:r>
      <w:r w:rsidR="008B52ED">
        <w:t xml:space="preserve">its </w:t>
      </w:r>
      <w:r w:rsidR="008B52ED" w:rsidRPr="008B52ED">
        <w:t>valid</w:t>
      </w:r>
      <w:r w:rsidR="008B52ED">
        <w:t>ity</w:t>
      </w:r>
      <w:r w:rsidR="008B52ED" w:rsidRPr="008B52ED">
        <w:t xml:space="preserve"> time</w:t>
      </w:r>
      <w:r w:rsidR="000F5D82">
        <w:t>r</w:t>
      </w:r>
      <w:r w:rsidR="008B52ED" w:rsidRPr="008B52ED">
        <w:t xml:space="preserve"> at a </w:t>
      </w:r>
      <w:r w:rsidR="000F5D82">
        <w:t xml:space="preserve">given </w:t>
      </w:r>
      <w:r w:rsidR="008B52ED" w:rsidRPr="008B52ED">
        <w:t>time</w:t>
      </w:r>
      <w:r w:rsidR="000F5D82">
        <w:t>;</w:t>
      </w:r>
      <w:r w:rsidR="008B52ED" w:rsidRPr="008B52ED">
        <w:t xml:space="preserve"> </w:t>
      </w:r>
      <w:r w:rsidR="008B52ED">
        <w:t xml:space="preserve">if </w:t>
      </w:r>
      <w:r w:rsidR="008B52ED" w:rsidRPr="008B52ED">
        <w:t xml:space="preserve">the reference </w:t>
      </w:r>
      <w:r w:rsidR="008B52ED">
        <w:t>location</w:t>
      </w:r>
      <w:r w:rsidR="008B52ED" w:rsidRPr="008B52ED">
        <w:t xml:space="preserve"> </w:t>
      </w:r>
      <w:r w:rsidR="000F5D82">
        <w:t>becomes</w:t>
      </w:r>
      <w:r w:rsidR="008B52ED">
        <w:t xml:space="preserve"> invalid</w:t>
      </w:r>
      <w:r w:rsidR="00C04EA7">
        <w:t xml:space="preserve">, e.g., </w:t>
      </w:r>
      <w:r w:rsidR="000F5D82">
        <w:t xml:space="preserve">upon </w:t>
      </w:r>
      <w:r w:rsidR="00C04EA7">
        <w:t>the validity timer expiry</w:t>
      </w:r>
      <w:r w:rsidR="008B52ED" w:rsidRPr="008B52ED">
        <w:t xml:space="preserve">, </w:t>
      </w:r>
      <w:r w:rsidR="000F5D82">
        <w:t xml:space="preserve">the </w:t>
      </w:r>
      <w:r w:rsidR="006471E8">
        <w:t>UE</w:t>
      </w:r>
      <w:r w:rsidR="008B52ED" w:rsidRPr="008B52ED">
        <w:t xml:space="preserve"> re</w:t>
      </w:r>
      <w:r w:rsidR="006471E8">
        <w:t>-</w:t>
      </w:r>
      <w:r w:rsidR="008B52ED" w:rsidRPr="008B52ED">
        <w:t xml:space="preserve">acquires the reference </w:t>
      </w:r>
      <w:r w:rsidR="006471E8">
        <w:t>location from the network</w:t>
      </w:r>
      <w:r w:rsidR="000F5D82">
        <w:t xml:space="preserve"> and use the updated</w:t>
      </w:r>
      <w:r w:rsidR="00330C10">
        <w:t>. For the former</w:t>
      </w:r>
      <w:r w:rsidR="000F5D82">
        <w:t xml:space="preserve"> way</w:t>
      </w:r>
      <w:r w:rsidR="00330C10">
        <w:t>,</w:t>
      </w:r>
      <w:r w:rsidR="000F5D82">
        <w:t xml:space="preserve"> there seems</w:t>
      </w:r>
      <w:r w:rsidR="00330C10" w:rsidRPr="00330C10">
        <w:t xml:space="preserve"> additional signal</w:t>
      </w:r>
      <w:r w:rsidR="00B21B99">
        <w:t>l</w:t>
      </w:r>
      <w:r w:rsidR="00330C10" w:rsidRPr="00330C10">
        <w:t>ing overhead</w:t>
      </w:r>
      <w:r w:rsidR="00CF4DE7" w:rsidRPr="00CF4DE7">
        <w:t xml:space="preserve"> </w:t>
      </w:r>
      <w:r w:rsidR="000F5D82">
        <w:t>caused to the</w:t>
      </w:r>
      <w:r w:rsidR="00CF4DE7" w:rsidRPr="00CF4DE7">
        <w:t xml:space="preserve"> system information</w:t>
      </w:r>
      <w:r w:rsidR="00687A64">
        <w:t xml:space="preserve"> than the la</w:t>
      </w:r>
      <w:r w:rsidR="00D71382">
        <w:t>t</w:t>
      </w:r>
      <w:r w:rsidR="00687A64">
        <w:t>ter</w:t>
      </w:r>
      <w:r w:rsidR="000F5D82">
        <w:t xml:space="preserve"> solution. </w:t>
      </w:r>
      <w:proofErr w:type="gramStart"/>
      <w:r w:rsidR="000F5D82">
        <w:t>So</w:t>
      </w:r>
      <w:proofErr w:type="gramEnd"/>
      <w:r w:rsidR="000E452A">
        <w:t xml:space="preserve"> </w:t>
      </w:r>
      <w:r w:rsidR="00D71382">
        <w:t>the latter way</w:t>
      </w:r>
      <w:r w:rsidR="000F5D82">
        <w:t>, i.e. reference point with associated validity timer,</w:t>
      </w:r>
      <w:r w:rsidR="008F5DF7">
        <w:t xml:space="preserve"> is </w:t>
      </w:r>
      <w:r w:rsidR="000F5D82">
        <w:t xml:space="preserve">slightly </w:t>
      </w:r>
      <w:r w:rsidR="008F5DF7">
        <w:t>preferred</w:t>
      </w:r>
      <w:r w:rsidR="000F5D82">
        <w:t xml:space="preserve"> from our perspective</w:t>
      </w:r>
      <w:r w:rsidR="004A6506">
        <w:t>.</w:t>
      </w:r>
    </w:p>
    <w:p w14:paraId="627F5412" w14:textId="28F0C10E" w:rsidR="00277901" w:rsidRDefault="00277901" w:rsidP="00E77F39">
      <w:pPr>
        <w:rPr>
          <w:b/>
          <w:bCs/>
        </w:rPr>
      </w:pPr>
      <w:r>
        <w:rPr>
          <w:b/>
          <w:bCs/>
        </w:rPr>
        <w:t>Proposal 3: For the earth-moving cell, the reference location is signalled with an associated validity timer in the system information.</w:t>
      </w:r>
    </w:p>
    <w:p w14:paraId="276E1BF0" w14:textId="6C1AAE93" w:rsidR="001C4E42" w:rsidRPr="002A56F7" w:rsidRDefault="001C4E42" w:rsidP="00E77F39">
      <w:pPr>
        <w:rPr>
          <w:b/>
          <w:bCs/>
        </w:rPr>
      </w:pPr>
      <w:r w:rsidRPr="002A56F7">
        <w:rPr>
          <w:rFonts w:hint="eastAsia"/>
          <w:b/>
          <w:bCs/>
        </w:rPr>
        <w:t>P</w:t>
      </w:r>
      <w:r w:rsidRPr="002A56F7">
        <w:rPr>
          <w:b/>
          <w:bCs/>
        </w:rPr>
        <w:t xml:space="preserve">roposal </w:t>
      </w:r>
      <w:r w:rsidR="00022714">
        <w:rPr>
          <w:b/>
          <w:bCs/>
        </w:rPr>
        <w:t>4</w:t>
      </w:r>
      <w:r w:rsidRPr="002A56F7">
        <w:rPr>
          <w:b/>
          <w:bCs/>
        </w:rPr>
        <w:t>:</w:t>
      </w:r>
      <w:r w:rsidR="002A56F7" w:rsidRPr="002A56F7">
        <w:rPr>
          <w:b/>
          <w:bCs/>
        </w:rPr>
        <w:t xml:space="preserve"> </w:t>
      </w:r>
      <w:r w:rsidR="002A56F7">
        <w:rPr>
          <w:b/>
          <w:bCs/>
        </w:rPr>
        <w:t>I</w:t>
      </w:r>
      <w:r w:rsidR="002A56F7" w:rsidRPr="002A56F7">
        <w:rPr>
          <w:b/>
          <w:bCs/>
        </w:rPr>
        <w:t xml:space="preserve">f the validity timer of </w:t>
      </w:r>
      <w:r w:rsidR="007C51FB">
        <w:rPr>
          <w:b/>
          <w:bCs/>
        </w:rPr>
        <w:t xml:space="preserve">the </w:t>
      </w:r>
      <w:r w:rsidR="002A56F7" w:rsidRPr="002A56F7">
        <w:rPr>
          <w:b/>
          <w:bCs/>
        </w:rPr>
        <w:t>reference location expir</w:t>
      </w:r>
      <w:r w:rsidR="007C51FB">
        <w:rPr>
          <w:b/>
          <w:bCs/>
        </w:rPr>
        <w:t>es</w:t>
      </w:r>
      <w:r w:rsidR="002A56F7" w:rsidRPr="002A56F7">
        <w:rPr>
          <w:b/>
          <w:bCs/>
        </w:rPr>
        <w:t>, UE re-acquires the reference location from the network.</w:t>
      </w:r>
    </w:p>
    <w:p w14:paraId="7E9BBDC2" w14:textId="4106B520" w:rsidR="00F1411A" w:rsidRDefault="00A2306E" w:rsidP="00E77F39">
      <w:r>
        <w:rPr>
          <w:rFonts w:hint="eastAsia"/>
        </w:rPr>
        <w:t>Since</w:t>
      </w:r>
      <w:r>
        <w:t xml:space="preserve"> </w:t>
      </w:r>
      <w:r>
        <w:rPr>
          <w:rFonts w:hint="eastAsia"/>
        </w:rPr>
        <w:t>validity</w:t>
      </w:r>
      <w:r>
        <w:t xml:space="preserve"> </w:t>
      </w:r>
      <w:r>
        <w:rPr>
          <w:rFonts w:hint="eastAsia"/>
        </w:rPr>
        <w:t>timer</w:t>
      </w:r>
      <w:r>
        <w:t xml:space="preserve"> of </w:t>
      </w:r>
      <w:r w:rsidRPr="00A2306E">
        <w:t xml:space="preserve">satellite ephemeris and </w:t>
      </w:r>
      <w:r>
        <w:t>c</w:t>
      </w:r>
      <w:r w:rsidRPr="00A2306E">
        <w:t>ommon TA parameters</w:t>
      </w:r>
      <w:r>
        <w:t xml:space="preserve"> (</w:t>
      </w:r>
      <w:r>
        <w:rPr>
          <w:rFonts w:hint="eastAsia"/>
        </w:rPr>
        <w:t>i.e.</w:t>
      </w:r>
      <w:r>
        <w:t xml:space="preserve">, </w:t>
      </w:r>
      <w:r>
        <w:rPr>
          <w:rFonts w:hint="eastAsia"/>
        </w:rPr>
        <w:t>T430</w:t>
      </w:r>
      <w:r>
        <w:t xml:space="preserve">) was introduced in Rel-17, </w:t>
      </w:r>
      <w:r w:rsidR="00277901">
        <w:t xml:space="preserve">it is </w:t>
      </w:r>
      <w:r w:rsidR="00B21B99">
        <w:t xml:space="preserve">natural </w:t>
      </w:r>
      <w:r w:rsidR="00277901">
        <w:t>to come up with the question regarding</w:t>
      </w:r>
      <w:r w:rsidR="001C69C2">
        <w:t xml:space="preserve"> whether to introduce a new validity timer </w:t>
      </w:r>
      <w:r w:rsidR="00277901">
        <w:t>specific to this</w:t>
      </w:r>
      <w:r w:rsidR="001C69C2">
        <w:t xml:space="preserve"> reference location </w:t>
      </w:r>
      <w:r w:rsidR="00277901">
        <w:t xml:space="preserve">update </w:t>
      </w:r>
      <w:r w:rsidR="001C69C2">
        <w:t xml:space="preserve">or </w:t>
      </w:r>
      <w:r w:rsidR="00277901">
        <w:t xml:space="preserve">to </w:t>
      </w:r>
      <w:r w:rsidR="001C69C2">
        <w:t xml:space="preserve">reuse the existing T430. </w:t>
      </w:r>
      <w:r w:rsidR="00277901">
        <w:t>From our perspective, t</w:t>
      </w:r>
      <w:r w:rsidR="004E7E2C" w:rsidRPr="004E7E2C">
        <w:t xml:space="preserve">he reference </w:t>
      </w:r>
      <w:r w:rsidR="004E7E2C">
        <w:t>location</w:t>
      </w:r>
      <w:r w:rsidR="004E7E2C" w:rsidRPr="004E7E2C">
        <w:t xml:space="preserve"> is a two-dimensional point on the ground</w:t>
      </w:r>
      <w:r w:rsidR="00277901">
        <w:t xml:space="preserve">, so it cannot be guaranteed that its </w:t>
      </w:r>
      <w:r w:rsidR="0090230E">
        <w:t>variance</w:t>
      </w:r>
      <w:r w:rsidR="00277901">
        <w:t xml:space="preserve"> can be completely covered by the variance of</w:t>
      </w:r>
      <w:r w:rsidR="0090230E">
        <w:t xml:space="preserve"> </w:t>
      </w:r>
      <w:r w:rsidR="004E7E2C" w:rsidRPr="004E7E2C">
        <w:t xml:space="preserve">the satellite ephemeris </w:t>
      </w:r>
      <w:r w:rsidR="00277901">
        <w:t>which indicates the motion of the</w:t>
      </w:r>
      <w:r w:rsidR="004E7E2C" w:rsidRPr="004E7E2C">
        <w:t xml:space="preserve"> </w:t>
      </w:r>
      <w:r w:rsidR="00277901">
        <w:t>satellite in space. Since the T430 was introduced to mainly cover the change of the satellite ephemeris it may not be able to well cover the change of the two-</w:t>
      </w:r>
      <w:r w:rsidR="0090230E">
        <w:t>dimension</w:t>
      </w:r>
      <w:r w:rsidR="00277901">
        <w:t xml:space="preserve"> reference location as discussed here,</w:t>
      </w:r>
      <w:r w:rsidR="00E04987">
        <w:t xml:space="preserve"> w</w:t>
      </w:r>
      <w:r w:rsidR="004E7E2C">
        <w:t xml:space="preserve">e think a new timer </w:t>
      </w:r>
      <w:r w:rsidR="00277901">
        <w:t xml:space="preserve">specific to the validity of the </w:t>
      </w:r>
      <w:r w:rsidR="0090230E">
        <w:t>reference</w:t>
      </w:r>
      <w:r w:rsidR="00277901">
        <w:t xml:space="preserve"> location </w:t>
      </w:r>
      <w:r w:rsidR="004E7E2C">
        <w:t>should be introduced</w:t>
      </w:r>
      <w:r w:rsidR="00E04987">
        <w:t>.</w:t>
      </w:r>
    </w:p>
    <w:p w14:paraId="2764095B" w14:textId="72FA42CB" w:rsidR="00E04987" w:rsidRDefault="00E04987" w:rsidP="00E77F39">
      <w:pPr>
        <w:rPr>
          <w:b/>
          <w:bCs/>
        </w:rPr>
      </w:pPr>
      <w:r w:rsidRPr="00E26A42">
        <w:rPr>
          <w:rFonts w:hint="eastAsia"/>
          <w:b/>
          <w:bCs/>
        </w:rPr>
        <w:lastRenderedPageBreak/>
        <w:t>P</w:t>
      </w:r>
      <w:r w:rsidRPr="00E26A42">
        <w:rPr>
          <w:b/>
          <w:bCs/>
        </w:rPr>
        <w:t xml:space="preserve">roposal </w:t>
      </w:r>
      <w:r w:rsidR="00022714">
        <w:rPr>
          <w:b/>
          <w:bCs/>
        </w:rPr>
        <w:t>5</w:t>
      </w:r>
      <w:r w:rsidRPr="00E26A42">
        <w:rPr>
          <w:b/>
          <w:bCs/>
        </w:rPr>
        <w:t xml:space="preserve">: </w:t>
      </w:r>
      <w:r w:rsidR="00277901">
        <w:rPr>
          <w:b/>
          <w:bCs/>
        </w:rPr>
        <w:t>For the earth-moving cell, a</w:t>
      </w:r>
      <w:r w:rsidRPr="00E26A42">
        <w:rPr>
          <w:b/>
          <w:bCs/>
        </w:rPr>
        <w:t xml:space="preserve"> new timer should be introduced </w:t>
      </w:r>
      <w:r w:rsidR="007C51FB">
        <w:rPr>
          <w:b/>
          <w:bCs/>
        </w:rPr>
        <w:t xml:space="preserve">as </w:t>
      </w:r>
      <w:r w:rsidR="00277901">
        <w:rPr>
          <w:b/>
          <w:bCs/>
        </w:rPr>
        <w:t>the validity time</w:t>
      </w:r>
      <w:r w:rsidR="007C51FB">
        <w:rPr>
          <w:b/>
          <w:bCs/>
        </w:rPr>
        <w:t>r for</w:t>
      </w:r>
      <w:r w:rsidR="00277901">
        <w:rPr>
          <w:b/>
          <w:bCs/>
        </w:rPr>
        <w:t xml:space="preserve"> the</w:t>
      </w:r>
      <w:r w:rsidRPr="00E26A42">
        <w:rPr>
          <w:b/>
          <w:bCs/>
        </w:rPr>
        <w:t xml:space="preserve"> reference location of </w:t>
      </w:r>
      <w:r w:rsidR="00BE7BEB">
        <w:rPr>
          <w:b/>
          <w:bCs/>
        </w:rPr>
        <w:t xml:space="preserve">the </w:t>
      </w:r>
      <w:r w:rsidRPr="00E26A42">
        <w:rPr>
          <w:b/>
          <w:bCs/>
        </w:rPr>
        <w:t>serving cell.</w:t>
      </w:r>
    </w:p>
    <w:p w14:paraId="35AB4BC9" w14:textId="1D0E0D26" w:rsidR="00E26A42" w:rsidRDefault="00BA4289" w:rsidP="00E77F39">
      <w:r w:rsidRPr="00BA4289">
        <w:rPr>
          <w:rFonts w:hint="eastAsia"/>
        </w:rPr>
        <w:t>A</w:t>
      </w:r>
      <w:r w:rsidRPr="00BA4289">
        <w:t>ccording to the discussion in [2]</w:t>
      </w:r>
      <w:r>
        <w:t xml:space="preserve">, </w:t>
      </w:r>
      <w:r w:rsidR="0070526B">
        <w:t>another issue rais</w:t>
      </w:r>
      <w:r w:rsidR="0090230E">
        <w:t>e</w:t>
      </w:r>
      <w:r w:rsidR="0070526B">
        <w:t xml:space="preserve">d by </w:t>
      </w:r>
      <w:r>
        <w:t xml:space="preserve">companies </w:t>
      </w:r>
      <w:r w:rsidR="002D11D4">
        <w:t xml:space="preserve">is whether the </w:t>
      </w:r>
      <w:r>
        <w:t>cell type</w:t>
      </w:r>
      <w:r w:rsidRPr="00BA4289">
        <w:t xml:space="preserve"> (</w:t>
      </w:r>
      <w:r>
        <w:t xml:space="preserve">i.e., </w:t>
      </w:r>
      <w:r w:rsidR="00157B87" w:rsidRPr="00157B87">
        <w:t>quasi-</w:t>
      </w:r>
      <w:r w:rsidR="00145667">
        <w:t xml:space="preserve">earth </w:t>
      </w:r>
      <w:bookmarkStart w:id="4" w:name="_GoBack"/>
      <w:bookmarkEnd w:id="4"/>
      <w:r w:rsidR="00157B87" w:rsidRPr="00157B87">
        <w:t>fixed cell or earth-moving cell</w:t>
      </w:r>
      <w:r w:rsidRPr="00BA4289">
        <w:t>)</w:t>
      </w:r>
      <w:r w:rsidR="00F678FF">
        <w:t xml:space="preserve"> should be provided </w:t>
      </w:r>
      <w:r w:rsidR="005C4B5F">
        <w:t>explic</w:t>
      </w:r>
      <w:r w:rsidR="009D66B0">
        <w:t>i</w:t>
      </w:r>
      <w:r w:rsidR="005C4B5F">
        <w:t>tly</w:t>
      </w:r>
      <w:r w:rsidR="0090230E">
        <w:t xml:space="preserve"> </w:t>
      </w:r>
      <w:r w:rsidR="002D11D4">
        <w:t>or not for this cell reselection enhancement purpose</w:t>
      </w:r>
      <w:r w:rsidR="009D66B0">
        <w:t xml:space="preserve">. </w:t>
      </w:r>
      <w:r w:rsidR="002D11D4">
        <w:t>I</w:t>
      </w:r>
      <w:r w:rsidR="009D66B0">
        <w:t>n our understanding,</w:t>
      </w:r>
      <w:r w:rsidR="00EE16FC">
        <w:t xml:space="preserve"> </w:t>
      </w:r>
      <w:r w:rsidR="00EE16FC" w:rsidRPr="00EE16FC">
        <w:t xml:space="preserve">different </w:t>
      </w:r>
      <w:r w:rsidR="002D11D4">
        <w:t xml:space="preserve">reference location </w:t>
      </w:r>
      <w:r w:rsidR="00EE16FC" w:rsidRPr="00EE16FC">
        <w:t xml:space="preserve">parameters </w:t>
      </w:r>
      <w:r w:rsidR="00EE16FC">
        <w:t xml:space="preserve">are provided by </w:t>
      </w:r>
      <w:r w:rsidR="00EE16FC" w:rsidRPr="00EE16FC">
        <w:t>earth</w:t>
      </w:r>
      <w:r w:rsidR="00EE16FC">
        <w:t xml:space="preserve">-moving </w:t>
      </w:r>
      <w:r w:rsidR="00EE16FC" w:rsidRPr="00EE16FC">
        <w:t xml:space="preserve">cell and </w:t>
      </w:r>
      <w:r w:rsidR="00EE16FC">
        <w:t>quasi-</w:t>
      </w:r>
      <w:r w:rsidR="00EE16FC" w:rsidRPr="00EE16FC">
        <w:t xml:space="preserve">fixed cell </w:t>
      </w:r>
      <w:r w:rsidR="002D11D4">
        <w:t xml:space="preserve">(i.e. time-variant or not) </w:t>
      </w:r>
      <w:r w:rsidR="00DE004C" w:rsidRPr="00EE16FC">
        <w:t>for location-based measurement initiation,</w:t>
      </w:r>
      <w:r w:rsidR="00EE16FC">
        <w:t xml:space="preserve"> </w:t>
      </w:r>
      <w:r w:rsidR="002D11D4">
        <w:t xml:space="preserve">and the </w:t>
      </w:r>
      <w:r w:rsidR="00823E50" w:rsidRPr="00823E50">
        <w:t xml:space="preserve">UE </w:t>
      </w:r>
      <w:r w:rsidR="002D11D4">
        <w:t xml:space="preserve">simply </w:t>
      </w:r>
      <w:r w:rsidR="00225207">
        <w:t>needs to</w:t>
      </w:r>
      <w:r w:rsidR="002D11D4">
        <w:t xml:space="preserve"> follow the </w:t>
      </w:r>
      <w:r w:rsidR="0090230E">
        <w:t>configuration</w:t>
      </w:r>
      <w:r w:rsidR="002D11D4">
        <w:t xml:space="preserve"> from the NW and perform</w:t>
      </w:r>
      <w:r w:rsidR="00823E50" w:rsidRPr="00823E50">
        <w:t xml:space="preserve"> corresponding </w:t>
      </w:r>
      <w:r w:rsidR="00823E50">
        <w:t>procedures</w:t>
      </w:r>
      <w:r w:rsidR="002D11D4">
        <w:t>. As a result, an explicit</w:t>
      </w:r>
      <w:r w:rsidR="00225207">
        <w:t xml:space="preserve"> cell type </w:t>
      </w:r>
      <w:r w:rsidR="002D11D4">
        <w:t xml:space="preserve">indication </w:t>
      </w:r>
      <w:r w:rsidR="00225207">
        <w:t>is not needed.</w:t>
      </w:r>
    </w:p>
    <w:p w14:paraId="518A7DAF" w14:textId="2402372B" w:rsidR="00225207" w:rsidRPr="007E30AD" w:rsidRDefault="00553573" w:rsidP="00E77F39">
      <w:pPr>
        <w:rPr>
          <w:b/>
          <w:bCs/>
        </w:rPr>
      </w:pPr>
      <w:r w:rsidRPr="007E30AD">
        <w:rPr>
          <w:rFonts w:hint="eastAsia"/>
          <w:b/>
          <w:bCs/>
        </w:rPr>
        <w:t>P</w:t>
      </w:r>
      <w:r w:rsidRPr="007E30AD">
        <w:rPr>
          <w:b/>
          <w:bCs/>
        </w:rPr>
        <w:t xml:space="preserve">roposal </w:t>
      </w:r>
      <w:r w:rsidR="00022714">
        <w:rPr>
          <w:b/>
          <w:bCs/>
        </w:rPr>
        <w:t>6</w:t>
      </w:r>
      <w:r w:rsidRPr="007E30AD">
        <w:rPr>
          <w:b/>
          <w:bCs/>
        </w:rPr>
        <w:t>:</w:t>
      </w:r>
      <w:r w:rsidR="00DE004C" w:rsidRPr="007E30AD">
        <w:rPr>
          <w:b/>
          <w:bCs/>
        </w:rPr>
        <w:t xml:space="preserve"> </w:t>
      </w:r>
      <w:r w:rsidR="002D11D4">
        <w:rPr>
          <w:b/>
          <w:bCs/>
        </w:rPr>
        <w:t>An explicit</w:t>
      </w:r>
      <w:r w:rsidR="007E30AD" w:rsidRPr="007E30AD">
        <w:rPr>
          <w:b/>
          <w:bCs/>
        </w:rPr>
        <w:t xml:space="preserve"> cell type</w:t>
      </w:r>
      <w:r w:rsidR="002D11D4">
        <w:rPr>
          <w:b/>
          <w:bCs/>
        </w:rPr>
        <w:t xml:space="preserve"> indication</w:t>
      </w:r>
      <w:r w:rsidR="007E30AD" w:rsidRPr="007E30AD">
        <w:rPr>
          <w:b/>
          <w:bCs/>
        </w:rPr>
        <w:t xml:space="preserve"> (i.e., </w:t>
      </w:r>
      <w:r w:rsidR="00E86EC2">
        <w:rPr>
          <w:b/>
          <w:bCs/>
        </w:rPr>
        <w:t>quasi-</w:t>
      </w:r>
      <w:r w:rsidR="00145667">
        <w:rPr>
          <w:b/>
          <w:bCs/>
        </w:rPr>
        <w:t xml:space="preserve">earth </w:t>
      </w:r>
      <w:r w:rsidR="007E30AD" w:rsidRPr="007E30AD">
        <w:rPr>
          <w:b/>
          <w:bCs/>
        </w:rPr>
        <w:t xml:space="preserve">fixed </w:t>
      </w:r>
      <w:r w:rsidR="00E86EC2">
        <w:rPr>
          <w:b/>
          <w:bCs/>
        </w:rPr>
        <w:t xml:space="preserve">cell </w:t>
      </w:r>
      <w:r w:rsidR="007E30AD" w:rsidRPr="007E30AD">
        <w:rPr>
          <w:b/>
          <w:bCs/>
        </w:rPr>
        <w:t xml:space="preserve">or </w:t>
      </w:r>
      <w:r w:rsidR="00E86EC2">
        <w:rPr>
          <w:b/>
          <w:bCs/>
        </w:rPr>
        <w:t>earth-</w:t>
      </w:r>
      <w:r w:rsidR="007E30AD" w:rsidRPr="007E30AD">
        <w:rPr>
          <w:b/>
          <w:bCs/>
        </w:rPr>
        <w:t>moving</w:t>
      </w:r>
      <w:r w:rsidR="00E86EC2">
        <w:rPr>
          <w:b/>
          <w:bCs/>
        </w:rPr>
        <w:t xml:space="preserve"> cell</w:t>
      </w:r>
      <w:r w:rsidR="007E30AD" w:rsidRPr="007E30AD">
        <w:rPr>
          <w:b/>
          <w:bCs/>
        </w:rPr>
        <w:t>)</w:t>
      </w:r>
      <w:r w:rsidR="002D11D4">
        <w:rPr>
          <w:b/>
          <w:bCs/>
        </w:rPr>
        <w:t xml:space="preserve"> to the UE is not needed</w:t>
      </w:r>
      <w:r w:rsidR="007E30AD" w:rsidRPr="007E30AD">
        <w:rPr>
          <w:b/>
          <w:bCs/>
        </w:rPr>
        <w:t>.</w:t>
      </w:r>
    </w:p>
    <w:p w14:paraId="13C8E8AB" w14:textId="325C7033" w:rsidR="00401519" w:rsidRPr="001A68EE" w:rsidRDefault="00401519" w:rsidP="001A68EE">
      <w:pPr>
        <w:pStyle w:val="2"/>
        <w:tabs>
          <w:tab w:val="clear" w:pos="1002"/>
        </w:tabs>
        <w:ind w:left="567"/>
        <w:rPr>
          <w:rStyle w:val="a9"/>
          <w:rFonts w:ascii="Arial" w:hAnsi="Arial" w:cs="Arial"/>
        </w:rPr>
      </w:pPr>
      <w:r w:rsidRPr="007E1288">
        <w:rPr>
          <w:rStyle w:val="a9"/>
          <w:rFonts w:ascii="Arial" w:hAnsi="Arial" w:cs="Arial"/>
        </w:rPr>
        <w:t>Time-based cell reselection for earth-moving cell</w:t>
      </w:r>
    </w:p>
    <w:p w14:paraId="3A44217B" w14:textId="7105A29A" w:rsidR="003F195F" w:rsidRDefault="003F195F" w:rsidP="00B21B99">
      <w:pPr>
        <w:spacing w:before="240"/>
      </w:pPr>
      <w:r>
        <w:rPr>
          <w:rFonts w:hint="eastAsia"/>
        </w:rPr>
        <w:t>F</w:t>
      </w:r>
      <w:r>
        <w:t>or earth-moving cell case, there can be two types of serving cell stop time which are respectively caused by service link switch (</w:t>
      </w:r>
      <w:r w:rsidRPr="00B01FFA">
        <w:t xml:space="preserve">as shown in </w:t>
      </w:r>
      <w:r>
        <w:t>f</w:t>
      </w:r>
      <w:r w:rsidRPr="00B01FFA">
        <w:t xml:space="preserve">igure </w:t>
      </w:r>
      <w:r>
        <w:t>1 below)</w:t>
      </w:r>
      <w:r w:rsidRPr="00677D7A">
        <w:t xml:space="preserve">, </w:t>
      </w:r>
      <w:r>
        <w:t>and caused by</w:t>
      </w:r>
      <w:r w:rsidR="00B21B99">
        <w:t xml:space="preserve"> </w:t>
      </w:r>
      <w:r>
        <w:t xml:space="preserve">feeder link switch (as shown in figure 2 below). </w:t>
      </w:r>
      <w:r w:rsidRPr="00D3513C">
        <w:t xml:space="preserve">Regardless of the reason </w:t>
      </w:r>
      <w:r>
        <w:t xml:space="preserve">why </w:t>
      </w:r>
      <w:r w:rsidRPr="00D3513C">
        <w:t>the network stops providing service</w:t>
      </w:r>
      <w:r>
        <w:t xml:space="preserve"> to the UE</w:t>
      </w:r>
      <w:r w:rsidRPr="00D3513C">
        <w:t>,</w:t>
      </w:r>
      <w:r>
        <w:t xml:space="preserve"> UE</w:t>
      </w:r>
      <w:r w:rsidRPr="00D3513C">
        <w:t xml:space="preserve"> needs to perform cell reselection</w:t>
      </w:r>
      <w:r>
        <w:t>. These two types of stop time are different in nature from the cell reselection perspective, and cannot be covered by a common solution in the earth moving cell case. We use the below figures to illustrate their difference.</w:t>
      </w:r>
    </w:p>
    <w:p w14:paraId="41518229" w14:textId="77777777" w:rsidR="003F195F" w:rsidRDefault="003F195F" w:rsidP="004638F2">
      <w:pPr>
        <w:jc w:val="center"/>
      </w:pPr>
    </w:p>
    <w:p w14:paraId="341E941A" w14:textId="77777777" w:rsidR="003F195F" w:rsidRDefault="003F195F" w:rsidP="004638F2">
      <w:pPr>
        <w:jc w:val="center"/>
      </w:pPr>
    </w:p>
    <w:p w14:paraId="746BF849" w14:textId="6EFB2746" w:rsidR="00E05C7E" w:rsidRDefault="004638F2" w:rsidP="004638F2">
      <w:pPr>
        <w:jc w:val="center"/>
      </w:pPr>
      <w:r>
        <w:object w:dxaOrig="7740" w:dyaOrig="4620" w14:anchorId="2029B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189pt" o:ole="">
            <v:imagedata r:id="rId9" o:title=""/>
          </v:shape>
          <o:OLEObject Type="Embed" ProgID="Visio.Drawing.15" ShapeID="_x0000_i1025" DrawAspect="Content" ObjectID="_1729077727" r:id="rId10"/>
        </w:object>
      </w:r>
    </w:p>
    <w:p w14:paraId="7C4B1150" w14:textId="669F5DD9" w:rsidR="003E1624" w:rsidRPr="004638F2" w:rsidRDefault="003E1624" w:rsidP="004638F2">
      <w:pPr>
        <w:jc w:val="center"/>
        <w:rPr>
          <w:rFonts w:ascii="Arial" w:hAnsi="Arial" w:cs="Arial"/>
          <w:sz w:val="20"/>
          <w:szCs w:val="16"/>
        </w:rPr>
      </w:pPr>
      <w:r w:rsidRPr="004638F2">
        <w:rPr>
          <w:rFonts w:ascii="Arial" w:hAnsi="Arial" w:cs="Arial"/>
          <w:sz w:val="20"/>
          <w:szCs w:val="16"/>
        </w:rPr>
        <w:t xml:space="preserve">Figure 1: </w:t>
      </w:r>
      <w:r w:rsidR="002D4B59" w:rsidRPr="004638F2">
        <w:rPr>
          <w:rFonts w:ascii="Arial" w:hAnsi="Arial" w:cs="Arial"/>
          <w:sz w:val="20"/>
          <w:szCs w:val="16"/>
        </w:rPr>
        <w:t>S</w:t>
      </w:r>
      <w:r w:rsidRPr="004638F2">
        <w:rPr>
          <w:rFonts w:ascii="Arial" w:hAnsi="Arial" w:cs="Arial"/>
          <w:sz w:val="20"/>
          <w:szCs w:val="16"/>
        </w:rPr>
        <w:t>ervice link switch without feeder link switch for moving cell</w:t>
      </w:r>
    </w:p>
    <w:p w14:paraId="4D3622AC" w14:textId="2D878FF1" w:rsidR="00E05C7E" w:rsidRDefault="00176BBA" w:rsidP="004638F2">
      <w:pPr>
        <w:jc w:val="center"/>
      </w:pPr>
      <w:r>
        <w:object w:dxaOrig="12480" w:dyaOrig="4995" w14:anchorId="272B007D">
          <v:shape id="_x0000_i1026" type="#_x0000_t75" style="width:481pt;height:193.5pt" o:ole="">
            <v:imagedata r:id="rId11" o:title=""/>
          </v:shape>
          <o:OLEObject Type="Embed" ProgID="Visio.Drawing.15" ShapeID="_x0000_i1026" DrawAspect="Content" ObjectID="_1729077728" r:id="rId12"/>
        </w:object>
      </w:r>
    </w:p>
    <w:p w14:paraId="55B4D3C4" w14:textId="5168D69F" w:rsidR="002D4B59" w:rsidRDefault="002D4B59" w:rsidP="004638F2">
      <w:pPr>
        <w:jc w:val="center"/>
        <w:rPr>
          <w:rFonts w:ascii="Arial" w:hAnsi="Arial" w:cs="Arial"/>
          <w:sz w:val="20"/>
          <w:szCs w:val="16"/>
        </w:rPr>
      </w:pPr>
      <w:r w:rsidRPr="004638F2">
        <w:rPr>
          <w:rFonts w:ascii="Arial" w:hAnsi="Arial" w:cs="Arial"/>
          <w:sz w:val="20"/>
          <w:szCs w:val="16"/>
        </w:rPr>
        <w:t>Figure 2</w:t>
      </w:r>
      <w:r w:rsidR="004454C0" w:rsidRPr="004638F2">
        <w:rPr>
          <w:rFonts w:ascii="Arial" w:hAnsi="Arial" w:cs="Arial"/>
          <w:sz w:val="20"/>
          <w:szCs w:val="16"/>
        </w:rPr>
        <w:t xml:space="preserve">: </w:t>
      </w:r>
      <w:r w:rsidR="003F195F">
        <w:rPr>
          <w:rFonts w:ascii="Arial" w:hAnsi="Arial" w:cs="Arial"/>
          <w:sz w:val="20"/>
          <w:szCs w:val="16"/>
        </w:rPr>
        <w:t>F</w:t>
      </w:r>
      <w:r w:rsidR="00337BD1" w:rsidRPr="004638F2">
        <w:rPr>
          <w:rFonts w:ascii="Arial" w:hAnsi="Arial" w:cs="Arial"/>
          <w:sz w:val="20"/>
          <w:szCs w:val="16"/>
        </w:rPr>
        <w:t>eeder link switch without service link switch for moving cell</w:t>
      </w:r>
    </w:p>
    <w:p w14:paraId="6AA731AA" w14:textId="099CDDD8" w:rsidR="006D277D" w:rsidRDefault="006D277D" w:rsidP="006D277D">
      <w:r>
        <w:rPr>
          <w:rFonts w:hint="eastAsia"/>
        </w:rPr>
        <w:t>F</w:t>
      </w:r>
      <w:r>
        <w:t>or the stop time due to servi</w:t>
      </w:r>
      <w:r>
        <w:rPr>
          <w:rFonts w:hint="eastAsia"/>
        </w:rPr>
        <w:t>c</w:t>
      </w:r>
      <w:r>
        <w:t>e link switch</w:t>
      </w:r>
      <w:r w:rsidR="003F195F">
        <w:t>ing as in Figure 1</w:t>
      </w:r>
      <w:r>
        <w:t>,</w:t>
      </w:r>
      <w:r w:rsidRPr="006D277D">
        <w:t xml:space="preserve"> </w:t>
      </w:r>
      <w:r w:rsidR="003F195F">
        <w:t xml:space="preserve">this is the stop time </w:t>
      </w:r>
      <w:r w:rsidR="00445F64">
        <w:t>caused by</w:t>
      </w:r>
      <w:r w:rsidR="003F195F">
        <w:t xml:space="preserve"> “the coverage of the satellite beam sliding over the earth surface” as consistently emphasized by companies. More specifically, the </w:t>
      </w:r>
      <w:r w:rsidRPr="009B42B0">
        <w:t xml:space="preserve">UEs distributed </w:t>
      </w:r>
      <w:r w:rsidR="003F195F">
        <w:t>at</w:t>
      </w:r>
      <w:r w:rsidR="003F195F" w:rsidRPr="009B42B0">
        <w:t xml:space="preserve"> </w:t>
      </w:r>
      <w:r w:rsidRPr="009B42B0">
        <w:t xml:space="preserve">different places </w:t>
      </w:r>
      <w:r>
        <w:t xml:space="preserve">in the cell </w:t>
      </w:r>
      <w:r w:rsidRPr="009B42B0">
        <w:t>may face different stop time</w:t>
      </w:r>
      <w:r>
        <w:t xml:space="preserve">, </w:t>
      </w:r>
      <w:proofErr w:type="spellStart"/>
      <w:r>
        <w:t>i.e</w:t>
      </w:r>
      <w:proofErr w:type="spellEnd"/>
      <w:r>
        <w:t>, the</w:t>
      </w:r>
      <w:r w:rsidRPr="006D277D">
        <w:t xml:space="preserve"> </w:t>
      </w:r>
      <w:r>
        <w:t>stop time due to servi</w:t>
      </w:r>
      <w:r>
        <w:rPr>
          <w:rFonts w:hint="eastAsia"/>
        </w:rPr>
        <w:t>c</w:t>
      </w:r>
      <w:r>
        <w:t>e link switch</w:t>
      </w:r>
      <w:r w:rsidR="00962559" w:rsidRPr="00962559">
        <w:t xml:space="preserve"> </w:t>
      </w:r>
      <w:r w:rsidR="00962559">
        <w:t>in earth-moving cell</w:t>
      </w:r>
      <w:r>
        <w:t xml:space="preserve"> is UE-specific</w:t>
      </w:r>
      <w:r w:rsidR="00A11257">
        <w:t xml:space="preserve">. </w:t>
      </w:r>
      <w:r w:rsidR="00445F64">
        <w:t xml:space="preserve">A </w:t>
      </w:r>
      <w:r w:rsidR="000B7D99">
        <w:t xml:space="preserve">UE can estimate </w:t>
      </w:r>
      <w:r w:rsidR="00A11257" w:rsidRPr="00A11257">
        <w:t>when the serving cell stops providing coverage at the present UE location</w:t>
      </w:r>
      <w:r w:rsidR="00A11257">
        <w:t xml:space="preserve"> due to service link switch</w:t>
      </w:r>
      <w:r w:rsidR="00445F64">
        <w:t>ing</w:t>
      </w:r>
      <w:r w:rsidR="000B7D99">
        <w:t xml:space="preserve"> based on </w:t>
      </w:r>
      <w:r w:rsidR="00445F64">
        <w:t xml:space="preserve">the time-variant </w:t>
      </w:r>
      <w:r w:rsidR="000B7D99">
        <w:t>reference location and distance thresho</w:t>
      </w:r>
      <w:r w:rsidR="006145D3">
        <w:t>l</w:t>
      </w:r>
      <w:r w:rsidR="000B7D99">
        <w:t>d</w:t>
      </w:r>
      <w:r w:rsidR="006145D3">
        <w:t xml:space="preserve">, </w:t>
      </w:r>
      <w:r w:rsidR="001D128A">
        <w:t xml:space="preserve">i.e., </w:t>
      </w:r>
      <w:r w:rsidR="00445F64">
        <w:t xml:space="preserve">when the </w:t>
      </w:r>
      <w:r w:rsidR="001706B4">
        <w:t>UE consider</w:t>
      </w:r>
      <w:r w:rsidR="00E845A3">
        <w:t>s</w:t>
      </w:r>
      <w:r w:rsidR="001706B4">
        <w:t xml:space="preserve"> </w:t>
      </w:r>
      <w:r w:rsidR="001706B4" w:rsidRPr="001706B4">
        <w:t xml:space="preserve">the distance between UE and reference location of serving cell </w:t>
      </w:r>
      <w:r w:rsidR="00E845A3">
        <w:t xml:space="preserve">is </w:t>
      </w:r>
      <w:r w:rsidR="001706B4" w:rsidRPr="001706B4">
        <w:t>larger than distance threshold</w:t>
      </w:r>
      <w:r w:rsidR="00445F64">
        <w:t xml:space="preserve">, it judges the stop time reaches/approaches. In a word, the stop time due to the service link switching is a </w:t>
      </w:r>
      <w:r w:rsidR="00445F64" w:rsidRPr="0033487B">
        <w:rPr>
          <w:i/>
        </w:rPr>
        <w:t>UE specific</w:t>
      </w:r>
      <w:r w:rsidR="00445F64">
        <w:t xml:space="preserve"> time, and it can be judged with a similar </w:t>
      </w:r>
      <w:r w:rsidR="00DC0C69">
        <w:t>rule</w:t>
      </w:r>
      <w:r w:rsidR="006145D3">
        <w:t xml:space="preserve"> as </w:t>
      </w:r>
      <w:r w:rsidR="00445F64">
        <w:t xml:space="preserve">that used for the </w:t>
      </w:r>
      <w:r w:rsidR="006145D3">
        <w:t xml:space="preserve">location-based </w:t>
      </w:r>
      <w:r w:rsidR="00445F64">
        <w:t>cell reselection enhancements in Proposal 1.</w:t>
      </w:r>
    </w:p>
    <w:p w14:paraId="2A001B14" w14:textId="0EF79DE8" w:rsidR="00962559" w:rsidRDefault="00445F64" w:rsidP="006D277D">
      <w:r>
        <w:t>By contrast, w</w:t>
      </w:r>
      <w:r w:rsidR="00200152">
        <w:t>hen</w:t>
      </w:r>
      <w:r w:rsidR="000808E6">
        <w:t xml:space="preserve"> feeder link switch</w:t>
      </w:r>
      <w:r w:rsidR="00200152">
        <w:t xml:space="preserve"> </w:t>
      </w:r>
      <w:r w:rsidR="00962559">
        <w:t>o</w:t>
      </w:r>
      <w:r w:rsidR="00200152">
        <w:t>ccurs</w:t>
      </w:r>
      <w:r w:rsidR="00BE7BEB">
        <w:t xml:space="preserve"> as shown in Figure 1</w:t>
      </w:r>
      <w:r w:rsidR="000808E6">
        <w:t>,</w:t>
      </w:r>
      <w:r w:rsidR="00200152">
        <w:t xml:space="preserve"> t</w:t>
      </w:r>
      <w:r w:rsidR="00200152" w:rsidRPr="00200152">
        <w:t xml:space="preserve">he service cell stops </w:t>
      </w:r>
      <w:r w:rsidR="00200152">
        <w:t>provid</w:t>
      </w:r>
      <w:r w:rsidR="00962559">
        <w:t>ing</w:t>
      </w:r>
      <w:r w:rsidR="00200152">
        <w:t xml:space="preserve"> </w:t>
      </w:r>
      <w:r w:rsidR="00200152" w:rsidRPr="00200152">
        <w:t>serv</w:t>
      </w:r>
      <w:r w:rsidR="00200152">
        <w:t xml:space="preserve">ice to </w:t>
      </w:r>
      <w:r w:rsidR="00200152" w:rsidRPr="0033487B">
        <w:rPr>
          <w:i/>
        </w:rPr>
        <w:t>all</w:t>
      </w:r>
      <w:r w:rsidR="00200152">
        <w:t xml:space="preserve"> the UE in the cell</w:t>
      </w:r>
      <w:r w:rsidR="00200152" w:rsidRPr="00200152">
        <w:t xml:space="preserve"> suddenly and all UEs need to perform cell reselection</w:t>
      </w:r>
      <w:r>
        <w:t>. That is,</w:t>
      </w:r>
      <w:r w:rsidR="00962559">
        <w:t xml:space="preserve"> the stop time due to feeder link switch</w:t>
      </w:r>
      <w:r>
        <w:t>ing</w:t>
      </w:r>
      <w:r w:rsidR="00962559">
        <w:t xml:space="preserve"> in earth-moving cell is common to all UEs</w:t>
      </w:r>
      <w:r>
        <w:t>, and is irrelevant to the stop time caused by the “cell coverage sliding over the earth surface”</w:t>
      </w:r>
      <w:r w:rsidR="00BE7BEB">
        <w:t xml:space="preserve"> (see the sub-figure in the middle)</w:t>
      </w:r>
      <w:r w:rsidR="00200152">
        <w:t>.</w:t>
      </w:r>
      <w:r w:rsidR="00200152" w:rsidRPr="00200152">
        <w:t xml:space="preserve"> </w:t>
      </w:r>
      <w:r>
        <w:t xml:space="preserve">In a word, when talking about the stop time due to feeder link switching in the earth-moving cell, it refers to a stop time that is common to all UEs in the cell, and has </w:t>
      </w:r>
      <w:r w:rsidRPr="0033487B">
        <w:rPr>
          <w:i/>
        </w:rPr>
        <w:t>Nothing</w:t>
      </w:r>
      <w:r>
        <w:t xml:space="preserve"> to do with the movement of the cell coverage over the earth surface. Actually, the situation caused by the stop time due to feeder link switching has no big difference between the earth-moving cell case and the quasi-earth fixed cell case, </w:t>
      </w:r>
      <w:r w:rsidR="0033487B">
        <w:t xml:space="preserve">so </w:t>
      </w:r>
      <w:r w:rsidR="002815F0">
        <w:t xml:space="preserve">the stop time due to feeder link </w:t>
      </w:r>
      <w:r w:rsidR="007C51FB">
        <w:t>switching</w:t>
      </w:r>
      <w:r w:rsidR="002815F0">
        <w:t xml:space="preserve"> can be broadcast by the network</w:t>
      </w:r>
      <w:r w:rsidR="00D3513C">
        <w:t xml:space="preserve"> </w:t>
      </w:r>
      <w:r w:rsidR="00962559">
        <w:t xml:space="preserve">similar </w:t>
      </w:r>
      <w:r w:rsidR="00D3513C">
        <w:t xml:space="preserve">as </w:t>
      </w:r>
      <w:r w:rsidR="00D3513C" w:rsidRPr="00D11D1E">
        <w:rPr>
          <w:i/>
        </w:rPr>
        <w:t>t-Service</w:t>
      </w:r>
      <w:r w:rsidR="00D3513C">
        <w:t xml:space="preserve"> </w:t>
      </w:r>
      <w:r w:rsidR="00962559">
        <w:t>specified in Rel-17</w:t>
      </w:r>
      <w:r w:rsidR="00D3513C">
        <w:t>.</w:t>
      </w:r>
    </w:p>
    <w:p w14:paraId="727A2BB0" w14:textId="76B7AB57" w:rsidR="00445F64" w:rsidRPr="00BB4EFB" w:rsidRDefault="00445F64" w:rsidP="006D277D">
      <w:pPr>
        <w:rPr>
          <w:b/>
        </w:rPr>
      </w:pPr>
      <w:r w:rsidRPr="00BB4EFB">
        <w:rPr>
          <w:b/>
        </w:rPr>
        <w:t>Observation 1: In the earth-moving cell, the stop time due to service link switching is caused by “cell coverage sliding over the earth surface”</w:t>
      </w:r>
      <w:r>
        <w:rPr>
          <w:b/>
        </w:rPr>
        <w:t xml:space="preserve"> and it is </w:t>
      </w:r>
      <w:r w:rsidR="007C51FB">
        <w:rPr>
          <w:b/>
        </w:rPr>
        <w:t xml:space="preserve">a </w:t>
      </w:r>
      <w:r>
        <w:rPr>
          <w:b/>
        </w:rPr>
        <w:t>UE specific</w:t>
      </w:r>
      <w:r w:rsidR="007C51FB">
        <w:rPr>
          <w:b/>
        </w:rPr>
        <w:t xml:space="preserve"> value</w:t>
      </w:r>
      <w:r w:rsidRPr="00BB4EFB">
        <w:rPr>
          <w:b/>
        </w:rPr>
        <w:t>. By contrast, the stop time due to feeder link switching</w:t>
      </w:r>
      <w:r>
        <w:rPr>
          <w:b/>
        </w:rPr>
        <w:t xml:space="preserve"> </w:t>
      </w:r>
      <w:r w:rsidRPr="00BB4EFB">
        <w:rPr>
          <w:b/>
        </w:rPr>
        <w:t>is irrelevant to the stop time caused by “cell coverage sliding over the earth surface”</w:t>
      </w:r>
      <w:r>
        <w:rPr>
          <w:b/>
        </w:rPr>
        <w:t xml:space="preserve"> and</w:t>
      </w:r>
      <w:r w:rsidRPr="00BE0E7E">
        <w:rPr>
          <w:b/>
        </w:rPr>
        <w:t xml:space="preserve"> </w:t>
      </w:r>
      <w:r>
        <w:rPr>
          <w:b/>
        </w:rPr>
        <w:t xml:space="preserve">it </w:t>
      </w:r>
      <w:r w:rsidRPr="00BE0E7E">
        <w:rPr>
          <w:b/>
        </w:rPr>
        <w:t xml:space="preserve">is </w:t>
      </w:r>
      <w:r w:rsidR="007C51FB">
        <w:rPr>
          <w:b/>
        </w:rPr>
        <w:t xml:space="preserve">a </w:t>
      </w:r>
      <w:r w:rsidRPr="00BE0E7E">
        <w:rPr>
          <w:b/>
        </w:rPr>
        <w:t>UE-common</w:t>
      </w:r>
      <w:r w:rsidR="007C51FB">
        <w:rPr>
          <w:b/>
        </w:rPr>
        <w:t xml:space="preserve"> value</w:t>
      </w:r>
      <w:r w:rsidRPr="00BB4EFB">
        <w:rPr>
          <w:b/>
        </w:rPr>
        <w:t>.</w:t>
      </w:r>
    </w:p>
    <w:p w14:paraId="686E51E5" w14:textId="4492EE60" w:rsidR="00962559" w:rsidRDefault="00445F64" w:rsidP="006D277D">
      <w:r>
        <w:t xml:space="preserve">In the practical deployment, one cannot </w:t>
      </w:r>
      <w:r w:rsidR="007C51FB">
        <w:t>guarantee</w:t>
      </w:r>
      <w:r>
        <w:t xml:space="preserve"> that feeder link </w:t>
      </w:r>
      <w:r w:rsidR="007C51FB">
        <w:t>switching</w:t>
      </w:r>
      <w:r>
        <w:t xml:space="preserve"> never happens in the earth-moving cell case (though perhaps not happening as frequently as service link switching), the stop time due to feeder link switching needs to be considered together with the stop time due to service link switching.</w:t>
      </w:r>
      <w:r w:rsidR="00962559" w:rsidRPr="00962559">
        <w:t xml:space="preserve"> </w:t>
      </w:r>
      <w:r>
        <w:t>S</w:t>
      </w:r>
      <w:r w:rsidR="00962559">
        <w:rPr>
          <w:rFonts w:hint="eastAsia"/>
        </w:rPr>
        <w:t>ince</w:t>
      </w:r>
      <w:r w:rsidR="00962559">
        <w:t xml:space="preserve"> </w:t>
      </w:r>
      <w:r w:rsidR="006A1C01" w:rsidRPr="006A1C01">
        <w:t>the stop time due to service</w:t>
      </w:r>
      <w:r w:rsidR="00F71FEA">
        <w:t xml:space="preserve"> </w:t>
      </w:r>
      <w:r w:rsidR="006A1C01" w:rsidRPr="006A1C01">
        <w:t>link switch and that due to feeder-link switch need</w:t>
      </w:r>
      <w:r w:rsidR="006A1C01">
        <w:rPr>
          <w:rFonts w:hint="eastAsia"/>
        </w:rPr>
        <w:t>s</w:t>
      </w:r>
      <w:r w:rsidR="006A1C01" w:rsidRPr="006A1C01">
        <w:t xml:space="preserve"> different handling</w:t>
      </w:r>
      <w:r>
        <w:t xml:space="preserve"> as illustrated above</w:t>
      </w:r>
      <w:r w:rsidR="006A1C01">
        <w:t xml:space="preserve">, </w:t>
      </w:r>
      <w:r w:rsidR="00962559" w:rsidRPr="00962559">
        <w:t xml:space="preserve">we propose that </w:t>
      </w:r>
      <w:r w:rsidR="004B2787">
        <w:t xml:space="preserve">cell reselection </w:t>
      </w:r>
      <w:r w:rsidR="007C51FB">
        <w:t>enhancements</w:t>
      </w:r>
      <w:r w:rsidR="004B2787">
        <w:t xml:space="preserve"> due to these </w:t>
      </w:r>
      <w:r w:rsidR="00962559" w:rsidRPr="00962559">
        <w:t>two types of stop time should be supported in the earth-moving cell case. Specifically, the UE shall start neighbour measurements before either type of stop time is reached (e.g. though the UE may not necessarily be made aware of whether a stop time is caused by service</w:t>
      </w:r>
      <w:r w:rsidR="00F71FEA">
        <w:t xml:space="preserve"> </w:t>
      </w:r>
      <w:r w:rsidR="00962559" w:rsidRPr="00962559">
        <w:t>link switch or feeder</w:t>
      </w:r>
      <w:r w:rsidR="00F71FEA">
        <w:t xml:space="preserve"> </w:t>
      </w:r>
      <w:r w:rsidR="00962559" w:rsidRPr="00962559">
        <w:t>link switch</w:t>
      </w:r>
      <w:r w:rsidR="00151FE9">
        <w:t>).</w:t>
      </w:r>
      <w:r w:rsidR="00151FE9" w:rsidRPr="00151FE9">
        <w:rPr>
          <w:rFonts w:hint="eastAsia"/>
        </w:rPr>
        <w:t xml:space="preserve"> </w:t>
      </w:r>
    </w:p>
    <w:p w14:paraId="7D487206" w14:textId="70A14C0B" w:rsidR="00C45E1E" w:rsidRDefault="00C45E1E" w:rsidP="00C45E1E">
      <w:pPr>
        <w:rPr>
          <w:b/>
          <w:bCs/>
        </w:rPr>
      </w:pPr>
      <w:r w:rsidRPr="00C45E1E">
        <w:rPr>
          <w:b/>
          <w:bCs/>
        </w:rPr>
        <w:lastRenderedPageBreak/>
        <w:t xml:space="preserve">Proposal </w:t>
      </w:r>
      <w:r w:rsidR="00022714">
        <w:rPr>
          <w:b/>
          <w:bCs/>
        </w:rPr>
        <w:t>7</w:t>
      </w:r>
      <w:r w:rsidRPr="00C45E1E">
        <w:rPr>
          <w:b/>
          <w:bCs/>
        </w:rPr>
        <w:t xml:space="preserve">: For the time-based </w:t>
      </w:r>
      <w:r>
        <w:rPr>
          <w:b/>
          <w:bCs/>
        </w:rPr>
        <w:t>measurement initiation</w:t>
      </w:r>
      <w:r w:rsidRPr="00C45E1E">
        <w:rPr>
          <w:b/>
          <w:bCs/>
        </w:rPr>
        <w:t xml:space="preserve"> in the earth moving cell, two types of stop time (which intends to handle the stop time due to service-link</w:t>
      </w:r>
      <w:r w:rsidR="008B2899">
        <w:rPr>
          <w:b/>
          <w:bCs/>
        </w:rPr>
        <w:t xml:space="preserve"> switching</w:t>
      </w:r>
      <w:r w:rsidRPr="00C45E1E">
        <w:rPr>
          <w:b/>
          <w:bCs/>
        </w:rPr>
        <w:t xml:space="preserve"> </w:t>
      </w:r>
      <w:r w:rsidR="008B2899">
        <w:rPr>
          <w:b/>
          <w:bCs/>
        </w:rPr>
        <w:t xml:space="preserve">and </w:t>
      </w:r>
      <w:r w:rsidRPr="00C45E1E">
        <w:rPr>
          <w:b/>
          <w:bCs/>
        </w:rPr>
        <w:t xml:space="preserve">feeder-link </w:t>
      </w:r>
      <w:r w:rsidR="008B2899">
        <w:rPr>
          <w:b/>
          <w:bCs/>
        </w:rPr>
        <w:t xml:space="preserve">switching </w:t>
      </w:r>
      <w:r w:rsidRPr="00C45E1E">
        <w:rPr>
          <w:b/>
          <w:bCs/>
        </w:rPr>
        <w:t xml:space="preserve">respectively) should be supported. </w:t>
      </w:r>
    </w:p>
    <w:p w14:paraId="0A785A33" w14:textId="76EF22A7" w:rsidR="004B2787" w:rsidRDefault="004B2787" w:rsidP="00C45E1E">
      <w:pPr>
        <w:rPr>
          <w:b/>
          <w:bCs/>
        </w:rPr>
      </w:pPr>
      <w:r>
        <w:rPr>
          <w:rFonts w:hint="eastAsia"/>
          <w:b/>
          <w:bCs/>
        </w:rPr>
        <w:t>P</w:t>
      </w:r>
      <w:r>
        <w:rPr>
          <w:b/>
          <w:bCs/>
        </w:rPr>
        <w:t xml:space="preserve">roposal </w:t>
      </w:r>
      <w:r w:rsidR="00022714">
        <w:rPr>
          <w:b/>
          <w:bCs/>
        </w:rPr>
        <w:t>8</w:t>
      </w:r>
      <w:r>
        <w:rPr>
          <w:b/>
          <w:bCs/>
        </w:rPr>
        <w:t xml:space="preserve">: Similar to </w:t>
      </w:r>
      <w:r w:rsidRPr="005652EB">
        <w:rPr>
          <w:b/>
          <w:bCs/>
          <w:i/>
        </w:rPr>
        <w:t>t-Service</w:t>
      </w:r>
      <w:r>
        <w:rPr>
          <w:b/>
          <w:bCs/>
        </w:rPr>
        <w:t xml:space="preserve">, the </w:t>
      </w:r>
      <w:proofErr w:type="spellStart"/>
      <w:r>
        <w:rPr>
          <w:b/>
          <w:bCs/>
        </w:rPr>
        <w:t>gNB</w:t>
      </w:r>
      <w:proofErr w:type="spellEnd"/>
      <w:r>
        <w:rPr>
          <w:b/>
          <w:bCs/>
        </w:rPr>
        <w:t xml:space="preserve"> configures a </w:t>
      </w:r>
      <w:r w:rsidR="008B2899">
        <w:rPr>
          <w:b/>
          <w:bCs/>
        </w:rPr>
        <w:t xml:space="preserve">cell-level </w:t>
      </w:r>
      <w:r>
        <w:rPr>
          <w:b/>
          <w:bCs/>
        </w:rPr>
        <w:t>serving cell stop time that covers the stop time due to feeder-link switch</w:t>
      </w:r>
      <w:r w:rsidR="008B2899">
        <w:rPr>
          <w:b/>
          <w:bCs/>
        </w:rPr>
        <w:t>ing</w:t>
      </w:r>
      <w:r>
        <w:rPr>
          <w:b/>
          <w:bCs/>
        </w:rPr>
        <w:t xml:space="preserve"> in the earth-moving cell. </w:t>
      </w:r>
    </w:p>
    <w:p w14:paraId="47783609" w14:textId="4F1146CB" w:rsidR="004B2787" w:rsidRPr="00C45E1E" w:rsidRDefault="004B2787" w:rsidP="00C45E1E">
      <w:pPr>
        <w:rPr>
          <w:b/>
          <w:bCs/>
        </w:rPr>
      </w:pPr>
      <w:r>
        <w:rPr>
          <w:b/>
          <w:bCs/>
        </w:rPr>
        <w:t xml:space="preserve">Proposal </w:t>
      </w:r>
      <w:r w:rsidR="00022714">
        <w:rPr>
          <w:b/>
          <w:bCs/>
        </w:rPr>
        <w:t>9</w:t>
      </w:r>
      <w:r>
        <w:rPr>
          <w:b/>
          <w:bCs/>
        </w:rPr>
        <w:t xml:space="preserve">: Similar to the location-based </w:t>
      </w:r>
      <w:r w:rsidR="008B2899">
        <w:rPr>
          <w:b/>
          <w:bCs/>
        </w:rPr>
        <w:t>criterion</w:t>
      </w:r>
      <w:r>
        <w:rPr>
          <w:b/>
          <w:bCs/>
        </w:rPr>
        <w:t xml:space="preserve">, the UE </w:t>
      </w:r>
      <w:r w:rsidR="00FB1C99">
        <w:rPr>
          <w:b/>
          <w:bCs/>
        </w:rPr>
        <w:t>calculates a</w:t>
      </w:r>
      <w:r>
        <w:rPr>
          <w:b/>
          <w:bCs/>
        </w:rPr>
        <w:t xml:space="preserve"> stop time </w:t>
      </w:r>
      <w:r w:rsidR="00FB1C99">
        <w:rPr>
          <w:b/>
          <w:bCs/>
        </w:rPr>
        <w:t>based on</w:t>
      </w:r>
      <w:r w:rsidRPr="004B2787">
        <w:rPr>
          <w:b/>
          <w:bCs/>
        </w:rPr>
        <w:t xml:space="preserve"> </w:t>
      </w:r>
      <w:r w:rsidRPr="0059502A">
        <w:rPr>
          <w:b/>
          <w:bCs/>
        </w:rPr>
        <w:t xml:space="preserve">the distance between </w:t>
      </w:r>
      <w:r w:rsidR="008B2899">
        <w:rPr>
          <w:b/>
          <w:bCs/>
        </w:rPr>
        <w:t xml:space="preserve">the </w:t>
      </w:r>
      <w:r w:rsidRPr="0059502A">
        <w:rPr>
          <w:b/>
          <w:bCs/>
        </w:rPr>
        <w:t xml:space="preserve">UE and reference location of serving cell </w:t>
      </w:r>
      <w:r w:rsidR="00FB1C99">
        <w:rPr>
          <w:b/>
          <w:bCs/>
        </w:rPr>
        <w:t>to cover the stop time due to service-link switching</w:t>
      </w:r>
      <w:r>
        <w:rPr>
          <w:b/>
          <w:bCs/>
        </w:rPr>
        <w:t>.</w:t>
      </w:r>
    </w:p>
    <w:p w14:paraId="3C2FFF31" w14:textId="64D5C9C3" w:rsidR="00686871" w:rsidRPr="00304AB3" w:rsidRDefault="00C45E1E" w:rsidP="00A77C38">
      <w:pPr>
        <w:rPr>
          <w:b/>
          <w:bCs/>
        </w:rPr>
      </w:pPr>
      <w:r w:rsidRPr="00C45E1E" w:rsidDel="004B2787">
        <w:rPr>
          <w:b/>
          <w:bCs/>
        </w:rPr>
        <w:t xml:space="preserve">Proposal </w:t>
      </w:r>
      <w:r w:rsidR="00022714">
        <w:rPr>
          <w:b/>
          <w:bCs/>
        </w:rPr>
        <w:t>10</w:t>
      </w:r>
      <w:r w:rsidRPr="00C45E1E" w:rsidDel="004B2787">
        <w:rPr>
          <w:b/>
          <w:bCs/>
        </w:rPr>
        <w:t xml:space="preserve">: The UE should start </w:t>
      </w:r>
      <w:r w:rsidR="008B2899" w:rsidRPr="00C45E1E" w:rsidDel="004B2787">
        <w:rPr>
          <w:b/>
          <w:bCs/>
        </w:rPr>
        <w:t>neighbour</w:t>
      </w:r>
      <w:r w:rsidRPr="00C45E1E" w:rsidDel="004B2787">
        <w:rPr>
          <w:b/>
          <w:bCs/>
        </w:rPr>
        <w:t xml:space="preserve"> cell measurements before either type of stop time is reached.</w:t>
      </w:r>
    </w:p>
    <w:p w14:paraId="11067BE8" w14:textId="38343CF3" w:rsidR="001D3B7E" w:rsidRPr="007E1288" w:rsidRDefault="001D3B7E" w:rsidP="00FB1C99">
      <w:pPr>
        <w:pStyle w:val="2"/>
        <w:tabs>
          <w:tab w:val="clear" w:pos="1002"/>
        </w:tabs>
        <w:ind w:left="567"/>
      </w:pPr>
      <w:r w:rsidRPr="007E1288">
        <w:rPr>
          <w:rStyle w:val="a9"/>
          <w:rFonts w:ascii="Arial" w:hAnsi="Arial" w:cs="Arial"/>
        </w:rPr>
        <w:t>Power saving for the NTN-TN mobility</w:t>
      </w:r>
    </w:p>
    <w:p w14:paraId="0E03183B" w14:textId="1A93EE8D" w:rsidR="001D3B7E" w:rsidRDefault="00D06C5F" w:rsidP="001844E2">
      <w:pPr>
        <w:rPr>
          <w:rFonts w:ascii="Arial" w:eastAsia="Times New Roman" w:hAnsi="Arial"/>
          <w:sz w:val="20"/>
          <w:lang w:eastAsia="ja-JP"/>
        </w:rPr>
      </w:pPr>
      <w:r>
        <w:t>Regarding</w:t>
      </w:r>
      <w:r w:rsidR="00D11D1E">
        <w:t xml:space="preserve"> power saving for NTN-TN mobility. </w:t>
      </w:r>
      <w:r w:rsidR="001844E2">
        <w:rPr>
          <w:rFonts w:hint="eastAsia"/>
        </w:rPr>
        <w:t>The</w:t>
      </w:r>
      <w:r w:rsidR="001844E2">
        <w:t xml:space="preserve"> following</w:t>
      </w:r>
      <w:r w:rsidR="001D3B7E">
        <w:t xml:space="preserve"> agreements </w:t>
      </w:r>
      <w:r w:rsidR="00A26724">
        <w:t>were</w:t>
      </w:r>
      <w:r w:rsidR="001D3B7E">
        <w:t xml:space="preserve"> reached in the last meeting:</w:t>
      </w:r>
    </w:p>
    <w:p w14:paraId="233BA3F6" w14:textId="2D5C428E" w:rsidR="001844E2" w:rsidRPr="008751FA" w:rsidRDefault="001844E2" w:rsidP="001844E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442" w:hanging="300"/>
        <w:jc w:val="left"/>
        <w:textAlignment w:val="auto"/>
        <w:rPr>
          <w:rFonts w:ascii="Arial" w:eastAsia="MS Mincho" w:hAnsi="Arial"/>
          <w:sz w:val="20"/>
          <w:szCs w:val="24"/>
          <w:lang w:eastAsia="en-GB"/>
        </w:rPr>
      </w:pPr>
      <w:r>
        <w:rPr>
          <w:rFonts w:ascii="Arial" w:eastAsia="MS Mincho" w:hAnsi="Arial"/>
          <w:sz w:val="20"/>
          <w:szCs w:val="24"/>
          <w:lang w:eastAsia="en-GB"/>
        </w:rPr>
        <w:t xml:space="preserve">2.  </w:t>
      </w:r>
      <w:r w:rsidRPr="008751FA">
        <w:rPr>
          <w:rFonts w:ascii="Arial" w:eastAsia="MS Mincho" w:hAnsi="Arial"/>
          <w:sz w:val="20"/>
          <w:szCs w:val="24"/>
          <w:lang w:eastAsia="en-GB"/>
        </w:rPr>
        <w:t>UE is not required to perform neighbour cell measurements for TN neighbour cells in an area where there is no TN network coverage.</w:t>
      </w:r>
    </w:p>
    <w:p w14:paraId="26B90683" w14:textId="7C149859" w:rsidR="001844E2" w:rsidRDefault="005F49CD" w:rsidP="00965B77">
      <w:pPr>
        <w:spacing w:before="240"/>
      </w:pPr>
      <w:r>
        <w:t>R</w:t>
      </w:r>
      <w:r w:rsidRPr="005F49CD">
        <w:t>eferring to the figure below,</w:t>
      </w:r>
      <w:r>
        <w:t xml:space="preserve"> i</w:t>
      </w:r>
      <w:r w:rsidR="00965B77">
        <w:t xml:space="preserve">n our understanding, </w:t>
      </w:r>
      <w:r w:rsidRPr="005F49CD">
        <w:t xml:space="preserve">the </w:t>
      </w:r>
      <w:r w:rsidR="006D08CB">
        <w:t>situation</w:t>
      </w:r>
      <w:r w:rsidRPr="005F49CD">
        <w:t xml:space="preserve"> described in the above </w:t>
      </w:r>
      <w:r>
        <w:t>agreement is that</w:t>
      </w:r>
      <w:r w:rsidRPr="005F49CD">
        <w:t xml:space="preserve"> for UE </w:t>
      </w:r>
      <w:r>
        <w:t>camping</w:t>
      </w:r>
      <w:r w:rsidRPr="005F49CD">
        <w:t xml:space="preserve"> in </w:t>
      </w:r>
      <w:r>
        <w:t xml:space="preserve">an </w:t>
      </w:r>
      <w:r w:rsidRPr="005F49CD">
        <w:t>NTN cell</w:t>
      </w:r>
      <w:r>
        <w:t xml:space="preserve"> and </w:t>
      </w:r>
      <w:r w:rsidR="00E74D1F">
        <w:t xml:space="preserve">the </w:t>
      </w:r>
      <w:r>
        <w:t>UE is not in any TN network coverage</w:t>
      </w:r>
      <w:r w:rsidRPr="005F49CD">
        <w:t xml:space="preserve"> </w:t>
      </w:r>
      <w:r>
        <w:t xml:space="preserve">(e.g., UE1 in figure </w:t>
      </w:r>
      <w:r w:rsidR="00022714">
        <w:t>3</w:t>
      </w:r>
      <w:r>
        <w:t xml:space="preserve">), </w:t>
      </w:r>
      <w:r w:rsidR="00E74D1F">
        <w:t>t</w:t>
      </w:r>
      <w:r w:rsidRPr="005F49CD">
        <w:t xml:space="preserve">he </w:t>
      </w:r>
      <w:r w:rsidR="00E74D1F">
        <w:t>UE is not required to perform neighbo</w:t>
      </w:r>
      <w:r w:rsidR="00022714">
        <w:t>u</w:t>
      </w:r>
      <w:r w:rsidR="00E74D1F">
        <w:t xml:space="preserve">r cell </w:t>
      </w:r>
      <w:r w:rsidR="00E74D1F" w:rsidRPr="00E74D1F">
        <w:t xml:space="preserve">measurements for TN </w:t>
      </w:r>
      <w:r w:rsidR="00BE7BEB">
        <w:t>neighbour</w:t>
      </w:r>
      <w:r w:rsidR="00E74D1F" w:rsidRPr="00E74D1F">
        <w:t xml:space="preserve"> cells</w:t>
      </w:r>
      <w:r w:rsidR="00E74D1F">
        <w:t>.</w:t>
      </w:r>
      <w:r w:rsidR="00F849C2">
        <w:t xml:space="preserve"> </w:t>
      </w:r>
      <w:r w:rsidR="000F2071">
        <w:t>Sim</w:t>
      </w:r>
      <w:r w:rsidR="008B2899">
        <w:t>p</w:t>
      </w:r>
      <w:r w:rsidR="000F2071">
        <w:t>ly following the current agreement</w:t>
      </w:r>
      <w:r w:rsidR="0070700D" w:rsidRPr="0070700D">
        <w:t>,</w:t>
      </w:r>
      <w:r w:rsidR="0070700D">
        <w:t xml:space="preserve"> UE</w:t>
      </w:r>
      <w:r w:rsidR="000F2071">
        <w:t>s</w:t>
      </w:r>
      <w:r w:rsidR="0070700D">
        <w:t xml:space="preserve"> </w:t>
      </w:r>
      <w:r w:rsidR="00236B75">
        <w:rPr>
          <w:rFonts w:hint="eastAsia"/>
        </w:rPr>
        <w:t>that</w:t>
      </w:r>
      <w:r w:rsidR="0070700D">
        <w:t xml:space="preserve"> </w:t>
      </w:r>
      <w:r w:rsidR="000F2071">
        <w:t xml:space="preserve">are </w:t>
      </w:r>
      <w:r w:rsidR="0070700D">
        <w:t xml:space="preserve">in the area </w:t>
      </w:r>
      <w:r w:rsidR="0070700D" w:rsidRPr="0070700D">
        <w:t>where there is no TN network coverage</w:t>
      </w:r>
      <w:r w:rsidR="0070700D">
        <w:t xml:space="preserve"> </w:t>
      </w:r>
      <w:r w:rsidR="000F2071">
        <w:t xml:space="preserve">at all </w:t>
      </w:r>
      <w:r w:rsidR="0070700D">
        <w:t xml:space="preserve">can save power </w:t>
      </w:r>
      <w:r w:rsidR="000F2071">
        <w:t>with</w:t>
      </w:r>
      <w:r w:rsidR="0070700D">
        <w:t xml:space="preserve"> TN </w:t>
      </w:r>
      <w:r w:rsidR="00BE7BEB">
        <w:t>neighbour</w:t>
      </w:r>
      <w:r w:rsidR="0070700D">
        <w:t xml:space="preserve"> cells</w:t>
      </w:r>
      <w:r w:rsidR="000F2071">
        <w:t xml:space="preserve"> not </w:t>
      </w:r>
      <w:r w:rsidR="008B2899">
        <w:t>measured</w:t>
      </w:r>
      <w:r w:rsidR="000F2071">
        <w:t>,</w:t>
      </w:r>
      <w:r w:rsidR="00D06C5F">
        <w:t xml:space="preserve"> </w:t>
      </w:r>
      <w:r w:rsidR="000F2071">
        <w:t>b</w:t>
      </w:r>
      <w:r w:rsidR="00D06C5F">
        <w:t xml:space="preserve">ut for the UE that is in the TN area, </w:t>
      </w:r>
      <w:r w:rsidR="00395273">
        <w:t>UE may need to measure all the TN frequenc</w:t>
      </w:r>
      <w:r w:rsidR="00B95CD2">
        <w:t>ies</w:t>
      </w:r>
      <w:r w:rsidR="00BB2D5A">
        <w:t xml:space="preserve"> once the TN frequency measurement is init</w:t>
      </w:r>
      <w:r w:rsidR="00B95CD2">
        <w:t>ia</w:t>
      </w:r>
      <w:r w:rsidR="00BB2D5A">
        <w:t>ted</w:t>
      </w:r>
      <w:r w:rsidR="000F2071">
        <w:t>, regardless of by which specific TN frequency the UE is actually covered</w:t>
      </w:r>
      <w:r w:rsidR="00B95CD2">
        <w:t xml:space="preserve">. </w:t>
      </w:r>
      <w:r w:rsidR="000F2071">
        <w:t>This, i.e. requiring the UE to measure all possible TN frequencies, is obviously not power efficient, as it is not guaranteed that the UE can find TN cell on whatever TN frequency it measures. So to realize the power saving gain, we think f</w:t>
      </w:r>
      <w:r w:rsidR="00073FE9">
        <w:t xml:space="preserve">or the UE </w:t>
      </w:r>
      <w:r w:rsidR="00991187" w:rsidRPr="00991187">
        <w:t xml:space="preserve">in TN coverage </w:t>
      </w:r>
      <w:r w:rsidR="00991187">
        <w:t>for some frequencies</w:t>
      </w:r>
      <w:r w:rsidR="00073FE9">
        <w:t>, the UE</w:t>
      </w:r>
      <w:r w:rsidR="00991187" w:rsidRPr="00991187">
        <w:t xml:space="preserve"> does not need to measure the </w:t>
      </w:r>
      <w:r w:rsidR="00073FE9">
        <w:t xml:space="preserve">other </w:t>
      </w:r>
      <w:r w:rsidR="00991187" w:rsidRPr="00991187">
        <w:t>TN frequenc</w:t>
      </w:r>
      <w:r w:rsidR="00073FE9">
        <w:t>ies</w:t>
      </w:r>
      <w:r w:rsidR="00991187" w:rsidRPr="00991187">
        <w:t xml:space="preserve"> if the</w:t>
      </w:r>
      <w:r w:rsidR="00991187">
        <w:t xml:space="preserve"> UE</w:t>
      </w:r>
      <w:r w:rsidR="00991187" w:rsidRPr="00991187">
        <w:t xml:space="preserve"> is not in the coverage of that TN frequency</w:t>
      </w:r>
      <w:r w:rsidR="00991187">
        <w:t xml:space="preserve">. </w:t>
      </w:r>
      <w:r w:rsidR="00991187">
        <w:rPr>
          <w:rFonts w:hint="eastAsia"/>
        </w:rPr>
        <w:t>Take</w:t>
      </w:r>
      <w:r w:rsidR="00991187">
        <w:t xml:space="preserve"> </w:t>
      </w:r>
      <w:r w:rsidR="00991187">
        <w:rPr>
          <w:rFonts w:hint="eastAsia"/>
        </w:rPr>
        <w:t>UE</w:t>
      </w:r>
      <w:r w:rsidR="00991187">
        <w:t xml:space="preserve">2 </w:t>
      </w:r>
      <w:r w:rsidR="00991187">
        <w:rPr>
          <w:rFonts w:hint="eastAsia"/>
        </w:rPr>
        <w:t>in</w:t>
      </w:r>
      <w:r w:rsidR="00991187">
        <w:t xml:space="preserve"> </w:t>
      </w:r>
      <w:r w:rsidR="00991187">
        <w:rPr>
          <w:rFonts w:hint="eastAsia"/>
        </w:rPr>
        <w:t>figure</w:t>
      </w:r>
      <w:r w:rsidR="00991187">
        <w:t xml:space="preserve"> 4 </w:t>
      </w:r>
      <w:r w:rsidR="00991187">
        <w:rPr>
          <w:rFonts w:hint="eastAsia"/>
        </w:rPr>
        <w:t>as</w:t>
      </w:r>
      <w:r w:rsidR="00991187">
        <w:t xml:space="preserve"> </w:t>
      </w:r>
      <w:r w:rsidR="00991187">
        <w:rPr>
          <w:rFonts w:hint="eastAsia"/>
        </w:rPr>
        <w:t>a</w:t>
      </w:r>
      <w:r w:rsidR="00991187">
        <w:t>n example,</w:t>
      </w:r>
      <w:r w:rsidR="00991187" w:rsidRPr="00991187">
        <w:t xml:space="preserve"> </w:t>
      </w:r>
      <w:r w:rsidR="00991187">
        <w:t xml:space="preserve">UE2 is in an area where TN cell on </w:t>
      </w:r>
      <w:r w:rsidR="00991187">
        <w:rPr>
          <w:rFonts w:hint="eastAsia"/>
        </w:rPr>
        <w:t>f</w:t>
      </w:r>
      <w:r w:rsidR="00991187">
        <w:t>3 provides coverage</w:t>
      </w:r>
      <w:r w:rsidR="00FB1F18">
        <w:t>,</w:t>
      </w:r>
      <w:r w:rsidR="00991187">
        <w:t xml:space="preserve"> UE2 only needs to perform measurement </w:t>
      </w:r>
      <w:r w:rsidR="00FB1F18" w:rsidRPr="00FB1F18">
        <w:t xml:space="preserve">TN </w:t>
      </w:r>
      <w:r w:rsidR="00BE7BEB">
        <w:t>neighbour</w:t>
      </w:r>
      <w:r w:rsidR="00FB1F18" w:rsidRPr="00FB1F18">
        <w:t xml:space="preserve"> cells</w:t>
      </w:r>
      <w:r w:rsidR="00FB1F18">
        <w:t xml:space="preserve"> on</w:t>
      </w:r>
      <w:r w:rsidR="00991187">
        <w:t xml:space="preserve"> </w:t>
      </w:r>
      <w:r w:rsidR="00991187">
        <w:rPr>
          <w:rFonts w:hint="eastAsia"/>
        </w:rPr>
        <w:t>f</w:t>
      </w:r>
      <w:r w:rsidR="00991187">
        <w:t xml:space="preserve">3, but is not required to perform measurement </w:t>
      </w:r>
      <w:r w:rsidR="00FB1F18" w:rsidRPr="00FB1F18">
        <w:t xml:space="preserve">TN </w:t>
      </w:r>
      <w:r w:rsidR="00BE7BEB">
        <w:t>neighbour</w:t>
      </w:r>
      <w:r w:rsidR="00FB1F18" w:rsidRPr="00FB1F18">
        <w:t xml:space="preserve"> cells </w:t>
      </w:r>
      <w:r w:rsidR="00991187">
        <w:t xml:space="preserve">on </w:t>
      </w:r>
      <w:r w:rsidR="00991187">
        <w:rPr>
          <w:rFonts w:hint="eastAsia"/>
        </w:rPr>
        <w:t>f</w:t>
      </w:r>
      <w:r w:rsidR="00991187">
        <w:t>1 and f2</w:t>
      </w:r>
      <w:r w:rsidR="00FB1F18">
        <w:t>.</w:t>
      </w:r>
    </w:p>
    <w:p w14:paraId="14BE57C4" w14:textId="6442D9CA" w:rsidR="00965B77" w:rsidRPr="00965B77" w:rsidRDefault="001C3AEA" w:rsidP="00670F8B">
      <w:pPr>
        <w:spacing w:before="240"/>
        <w:jc w:val="center"/>
      </w:pPr>
      <w:r>
        <w:object w:dxaOrig="5791" w:dyaOrig="3061" w14:anchorId="6EEBB9C6">
          <v:shape id="_x0000_i1027" type="#_x0000_t75" style="width:290.25pt;height:153pt" o:ole="">
            <v:imagedata r:id="rId13" o:title=""/>
          </v:shape>
          <o:OLEObject Type="Embed" ProgID="Visio.Drawing.15" ShapeID="_x0000_i1027" DrawAspect="Content" ObjectID="_1729077729" r:id="rId14"/>
        </w:object>
      </w:r>
    </w:p>
    <w:p w14:paraId="2E93796C" w14:textId="66C85945" w:rsidR="00965B77" w:rsidRPr="00965B77" w:rsidRDefault="00965B77" w:rsidP="00670F8B">
      <w:pPr>
        <w:jc w:val="center"/>
        <w:rPr>
          <w:rFonts w:ascii="Arial" w:eastAsiaTheme="minorEastAsia" w:hAnsi="Arial"/>
          <w:sz w:val="20"/>
        </w:rPr>
      </w:pPr>
      <w:r>
        <w:rPr>
          <w:rFonts w:ascii="Arial" w:eastAsiaTheme="minorEastAsia" w:hAnsi="Arial"/>
          <w:sz w:val="20"/>
        </w:rPr>
        <w:t xml:space="preserve">Figure </w:t>
      </w:r>
      <w:r w:rsidR="00B21B99">
        <w:rPr>
          <w:rFonts w:ascii="Arial" w:eastAsiaTheme="minorEastAsia" w:hAnsi="Arial"/>
          <w:sz w:val="20"/>
        </w:rPr>
        <w:t>3</w:t>
      </w:r>
      <w:r>
        <w:rPr>
          <w:rFonts w:ascii="Arial" w:eastAsiaTheme="minorEastAsia" w:hAnsi="Arial"/>
          <w:sz w:val="20"/>
        </w:rPr>
        <w:t xml:space="preserve">: Example of UE camping on NTN cell which has TN </w:t>
      </w:r>
      <w:r w:rsidR="00BE7BEB">
        <w:rPr>
          <w:rFonts w:ascii="Arial" w:eastAsiaTheme="minorEastAsia" w:hAnsi="Arial"/>
          <w:sz w:val="20"/>
        </w:rPr>
        <w:t>neighbour</w:t>
      </w:r>
      <w:r>
        <w:rPr>
          <w:rFonts w:ascii="Arial" w:eastAsiaTheme="minorEastAsia" w:hAnsi="Arial"/>
          <w:sz w:val="20"/>
        </w:rPr>
        <w:t xml:space="preserve"> cells</w:t>
      </w:r>
    </w:p>
    <w:p w14:paraId="39990CEB" w14:textId="65C92B40" w:rsidR="00073FE9" w:rsidRPr="00931C3D" w:rsidRDefault="00073FE9" w:rsidP="002F2D1B">
      <w:pPr>
        <w:spacing w:before="180"/>
        <w:rPr>
          <w:b/>
          <w:bCs/>
        </w:rPr>
      </w:pPr>
      <w:r w:rsidRPr="00931C3D">
        <w:rPr>
          <w:rFonts w:hint="eastAsia"/>
          <w:b/>
          <w:bCs/>
        </w:rPr>
        <w:t>P</w:t>
      </w:r>
      <w:r w:rsidRPr="00931C3D">
        <w:rPr>
          <w:b/>
          <w:bCs/>
        </w:rPr>
        <w:t xml:space="preserve">roposal </w:t>
      </w:r>
      <w:r w:rsidR="00022714">
        <w:rPr>
          <w:b/>
          <w:bCs/>
        </w:rPr>
        <w:t>11</w:t>
      </w:r>
      <w:r w:rsidRPr="00931C3D">
        <w:rPr>
          <w:b/>
          <w:bCs/>
        </w:rPr>
        <w:t>:</w:t>
      </w:r>
      <w:r w:rsidR="000F2071">
        <w:rPr>
          <w:b/>
          <w:bCs/>
        </w:rPr>
        <w:t xml:space="preserve"> For NTN-TN mobility,</w:t>
      </w:r>
      <w:r w:rsidR="00C9375C" w:rsidRPr="00931C3D">
        <w:rPr>
          <w:b/>
          <w:bCs/>
        </w:rPr>
        <w:t xml:space="preserve"> </w:t>
      </w:r>
      <w:r w:rsidR="000F2071">
        <w:rPr>
          <w:b/>
          <w:bCs/>
        </w:rPr>
        <w:t xml:space="preserve">an RRC_IDLE/RRC_INACTIVE </w:t>
      </w:r>
      <w:r w:rsidR="00C9375C" w:rsidRPr="00931C3D">
        <w:rPr>
          <w:b/>
          <w:bCs/>
        </w:rPr>
        <w:t>UE is not required to perform neighbo</w:t>
      </w:r>
      <w:r w:rsidR="00022714">
        <w:rPr>
          <w:b/>
          <w:bCs/>
        </w:rPr>
        <w:t>u</w:t>
      </w:r>
      <w:r w:rsidR="00C9375C" w:rsidRPr="00931C3D">
        <w:rPr>
          <w:b/>
          <w:bCs/>
        </w:rPr>
        <w:t xml:space="preserve">r cell measurements for a TN </w:t>
      </w:r>
      <w:r w:rsidR="00C9375C" w:rsidRPr="00931C3D">
        <w:rPr>
          <w:rFonts w:hint="eastAsia"/>
          <w:b/>
          <w:bCs/>
        </w:rPr>
        <w:t>frequency</w:t>
      </w:r>
      <w:r w:rsidR="00C9375C" w:rsidRPr="00931C3D">
        <w:rPr>
          <w:b/>
          <w:bCs/>
        </w:rPr>
        <w:t xml:space="preserve"> </w:t>
      </w:r>
      <w:r w:rsidR="00931C3D" w:rsidRPr="00931C3D">
        <w:rPr>
          <w:b/>
          <w:bCs/>
        </w:rPr>
        <w:t xml:space="preserve">in </w:t>
      </w:r>
      <w:r w:rsidR="008B2899">
        <w:rPr>
          <w:b/>
          <w:bCs/>
        </w:rPr>
        <w:t>the</w:t>
      </w:r>
      <w:r w:rsidR="008B2899" w:rsidRPr="00931C3D">
        <w:rPr>
          <w:b/>
          <w:bCs/>
        </w:rPr>
        <w:t xml:space="preserve"> </w:t>
      </w:r>
      <w:r w:rsidR="00931C3D" w:rsidRPr="00931C3D">
        <w:rPr>
          <w:b/>
          <w:bCs/>
        </w:rPr>
        <w:t>area</w:t>
      </w:r>
      <w:r w:rsidR="00C9375C" w:rsidRPr="00931C3D">
        <w:rPr>
          <w:b/>
          <w:bCs/>
        </w:rPr>
        <w:t xml:space="preserve"> where there is no coverage of that frequency.</w:t>
      </w:r>
    </w:p>
    <w:p w14:paraId="5F331B39" w14:textId="718D2511" w:rsidR="002F7C58" w:rsidRDefault="00D32AF7" w:rsidP="002F2D1B">
      <w:pPr>
        <w:spacing w:before="180"/>
      </w:pPr>
      <w:r>
        <w:rPr>
          <w:rFonts w:hint="eastAsia"/>
        </w:rPr>
        <w:lastRenderedPageBreak/>
        <w:t>T</w:t>
      </w:r>
      <w:r>
        <w:t xml:space="preserve">he next issue that </w:t>
      </w:r>
      <w:r w:rsidR="006E2270">
        <w:t xml:space="preserve">needs to </w:t>
      </w:r>
      <w:r>
        <w:t xml:space="preserve">be discussed is what </w:t>
      </w:r>
      <w:r w:rsidR="000F2071">
        <w:t xml:space="preserve">specific </w:t>
      </w:r>
      <w:r>
        <w:t xml:space="preserve">assistance information </w:t>
      </w:r>
      <w:r>
        <w:rPr>
          <w:rFonts w:hint="eastAsia"/>
        </w:rPr>
        <w:t>should</w:t>
      </w:r>
      <w:r>
        <w:t xml:space="preserve"> </w:t>
      </w:r>
      <w:r>
        <w:rPr>
          <w:rFonts w:hint="eastAsia"/>
        </w:rPr>
        <w:t>b</w:t>
      </w:r>
      <w:r>
        <w:t xml:space="preserve">e provided by the network for UE decides whether it is </w:t>
      </w:r>
      <w:r w:rsidRPr="00D32AF7">
        <w:t>within/adjacent</w:t>
      </w:r>
      <w:r>
        <w:t xml:space="preserve"> to the TN network coverage</w:t>
      </w:r>
      <w:r w:rsidR="00D86848">
        <w:t>.</w:t>
      </w:r>
      <w:r w:rsidR="006E2270">
        <w:t xml:space="preserve"> For simplic</w:t>
      </w:r>
      <w:r w:rsidR="006E2270">
        <w:rPr>
          <w:rFonts w:hint="eastAsia"/>
        </w:rPr>
        <w:t>i</w:t>
      </w:r>
      <w:r w:rsidR="006E2270">
        <w:t xml:space="preserve">ty, we think a reference point and distance threshold can </w:t>
      </w:r>
      <w:r w:rsidR="006B45A4">
        <w:t xml:space="preserve">be used to </w:t>
      </w:r>
      <w:r w:rsidR="006E2270">
        <w:t>d</w:t>
      </w:r>
      <w:r w:rsidR="006B45A4">
        <w:t>e</w:t>
      </w:r>
      <w:r w:rsidR="006E2270">
        <w:t>scribe TN coverage</w:t>
      </w:r>
      <w:r w:rsidR="00277811">
        <w:t>.</w:t>
      </w:r>
      <w:r w:rsidR="000F2071">
        <w:t xml:space="preserve"> Compared with other complicated solution, e.g. providing TN coverage border, this solution is much less complicated and friendly to UE implementation, and due to the irregular </w:t>
      </w:r>
      <w:r w:rsidR="00D75D97">
        <w:t xml:space="preserve">shape of the cell coverage formed by </w:t>
      </w:r>
      <w:r w:rsidR="000F2071">
        <w:t xml:space="preserve">radio </w:t>
      </w:r>
      <w:r w:rsidR="00D75D97">
        <w:t>signals</w:t>
      </w:r>
      <w:r w:rsidR="000F2071">
        <w:t>, it is hard to say that the TN coverage border can really be accurately reflected, even with much more complicated solution is used.</w:t>
      </w:r>
      <w:r w:rsidR="00277811">
        <w:t xml:space="preserve"> Furthermore, in order to save power for the UE that is in the TN area according to </w:t>
      </w:r>
      <w:r w:rsidR="000F2071">
        <w:t xml:space="preserve">Proposal </w:t>
      </w:r>
      <w:r w:rsidR="00022714">
        <w:t>11</w:t>
      </w:r>
      <w:r w:rsidR="000F2071">
        <w:t xml:space="preserve"> above</w:t>
      </w:r>
      <w:r w:rsidR="00D75D97">
        <w:t>,</w:t>
      </w:r>
      <w:r w:rsidR="00114597">
        <w:t xml:space="preserve"> the assistance information can be provided at a </w:t>
      </w:r>
      <w:r w:rsidR="00114597" w:rsidRPr="00C077D6">
        <w:t>frequency</w:t>
      </w:r>
      <w:r w:rsidR="00114597">
        <w:t xml:space="preserve"> </w:t>
      </w:r>
      <w:r w:rsidR="00114597" w:rsidRPr="00C077D6">
        <w:t>level</w:t>
      </w:r>
      <w:r w:rsidR="00114597">
        <w:t>.</w:t>
      </w:r>
    </w:p>
    <w:p w14:paraId="471110CA" w14:textId="4ED3EFD1" w:rsidR="00C06F78" w:rsidRPr="00337DC0" w:rsidRDefault="00114597" w:rsidP="00337DC0">
      <w:pPr>
        <w:spacing w:before="180"/>
        <w:rPr>
          <w:b/>
          <w:bCs/>
        </w:rPr>
      </w:pPr>
      <w:r w:rsidRPr="00337DC0">
        <w:rPr>
          <w:rFonts w:hint="eastAsia"/>
          <w:b/>
          <w:bCs/>
        </w:rPr>
        <w:t>P</w:t>
      </w:r>
      <w:r w:rsidRPr="00337DC0">
        <w:rPr>
          <w:b/>
          <w:bCs/>
        </w:rPr>
        <w:t xml:space="preserve">roposal </w:t>
      </w:r>
      <w:r w:rsidR="00022714" w:rsidRPr="00337DC0">
        <w:rPr>
          <w:b/>
          <w:bCs/>
        </w:rPr>
        <w:t>1</w:t>
      </w:r>
      <w:r w:rsidR="00022714">
        <w:rPr>
          <w:b/>
          <w:bCs/>
        </w:rPr>
        <w:t>2</w:t>
      </w:r>
      <w:r w:rsidRPr="00337DC0">
        <w:rPr>
          <w:b/>
          <w:bCs/>
        </w:rPr>
        <w:t xml:space="preserve">: </w:t>
      </w:r>
      <w:r w:rsidR="008B2899">
        <w:rPr>
          <w:b/>
          <w:bCs/>
        </w:rPr>
        <w:t>A r</w:t>
      </w:r>
      <w:r w:rsidRPr="00337DC0">
        <w:rPr>
          <w:b/>
          <w:bCs/>
        </w:rPr>
        <w:t xml:space="preserve">eference point and </w:t>
      </w:r>
      <w:r w:rsidR="008B2899">
        <w:rPr>
          <w:b/>
          <w:bCs/>
        </w:rPr>
        <w:t xml:space="preserve">a </w:t>
      </w:r>
      <w:r w:rsidRPr="00337DC0">
        <w:rPr>
          <w:b/>
          <w:bCs/>
        </w:rPr>
        <w:t xml:space="preserve">distance threshold can be used to </w:t>
      </w:r>
      <w:r w:rsidR="00D75D97">
        <w:rPr>
          <w:b/>
          <w:bCs/>
        </w:rPr>
        <w:t>indicate</w:t>
      </w:r>
      <w:r w:rsidR="00D75D97" w:rsidRPr="00337DC0">
        <w:rPr>
          <w:b/>
          <w:bCs/>
        </w:rPr>
        <w:t xml:space="preserve"> </w:t>
      </w:r>
      <w:r w:rsidRPr="00337DC0">
        <w:rPr>
          <w:b/>
          <w:bCs/>
        </w:rPr>
        <w:t>TN coverage</w:t>
      </w:r>
      <w:r w:rsidR="000F2071">
        <w:rPr>
          <w:b/>
          <w:bCs/>
        </w:rPr>
        <w:t xml:space="preserve">. They </w:t>
      </w:r>
      <w:r w:rsidRPr="00337DC0">
        <w:rPr>
          <w:b/>
          <w:bCs/>
        </w:rPr>
        <w:t xml:space="preserve">can be </w:t>
      </w:r>
      <w:r w:rsidR="00D75D97">
        <w:rPr>
          <w:b/>
          <w:bCs/>
        </w:rPr>
        <w:t>configured</w:t>
      </w:r>
      <w:r w:rsidR="00D75D97" w:rsidRPr="00337DC0">
        <w:rPr>
          <w:b/>
          <w:bCs/>
        </w:rPr>
        <w:t xml:space="preserve"> </w:t>
      </w:r>
      <w:r w:rsidR="00D75D97">
        <w:rPr>
          <w:b/>
          <w:bCs/>
        </w:rPr>
        <w:t>per frequency to indicate the TN coverage provided by the corresponding frequency</w:t>
      </w:r>
      <w:r w:rsidRPr="00337DC0">
        <w:rPr>
          <w:b/>
          <w:bCs/>
        </w:rPr>
        <w:t>.</w:t>
      </w:r>
      <w:bookmarkStart w:id="5" w:name="OLE_LINK6"/>
    </w:p>
    <w:bookmarkEnd w:id="5"/>
    <w:p w14:paraId="14277E1A" w14:textId="77777777" w:rsidR="00137B81" w:rsidRDefault="00505CF9">
      <w:pPr>
        <w:pStyle w:val="1"/>
        <w:spacing w:before="180" w:line="240" w:lineRule="auto"/>
        <w:ind w:left="0" w:firstLine="0"/>
        <w:jc w:val="left"/>
      </w:pPr>
      <w:r>
        <w:t>Conclusions</w:t>
      </w:r>
    </w:p>
    <w:p w14:paraId="050A160D" w14:textId="43228275" w:rsidR="00A775EE" w:rsidRDefault="007631FF">
      <w:pPr>
        <w:rPr>
          <w:bCs/>
        </w:rPr>
      </w:pPr>
      <w:bookmarkStart w:id="6" w:name="_Toc502437832"/>
      <w:r w:rsidRPr="007631FF">
        <w:rPr>
          <w:bCs/>
        </w:rPr>
        <w:t xml:space="preserve">Based on the analyses given above, we have the following </w:t>
      </w:r>
      <w:r w:rsidR="00022714">
        <w:rPr>
          <w:bCs/>
        </w:rPr>
        <w:t xml:space="preserve">observations and </w:t>
      </w:r>
      <w:r w:rsidRPr="007631FF">
        <w:rPr>
          <w:bCs/>
        </w:rPr>
        <w:t>proposals:</w:t>
      </w:r>
    </w:p>
    <w:p w14:paraId="3DAB73D8" w14:textId="77777777" w:rsidR="00BE7BEB" w:rsidRPr="00BB4EFB" w:rsidRDefault="00BE7BEB" w:rsidP="00BE7BEB">
      <w:pPr>
        <w:rPr>
          <w:b/>
        </w:rPr>
      </w:pPr>
      <w:r w:rsidRPr="00BB4EFB">
        <w:rPr>
          <w:b/>
        </w:rPr>
        <w:t>Observation 1: In the earth-moving cell, the stop time due to service link switching is caused by “cell coverage sliding over the earth surface”</w:t>
      </w:r>
      <w:r>
        <w:rPr>
          <w:b/>
        </w:rPr>
        <w:t xml:space="preserve"> and it is a UE specific value</w:t>
      </w:r>
      <w:r w:rsidRPr="00BB4EFB">
        <w:rPr>
          <w:b/>
        </w:rPr>
        <w:t>. By contrast, the stop time due to feeder link switching</w:t>
      </w:r>
      <w:r>
        <w:rPr>
          <w:b/>
        </w:rPr>
        <w:t xml:space="preserve"> </w:t>
      </w:r>
      <w:r w:rsidRPr="00BB4EFB">
        <w:rPr>
          <w:b/>
        </w:rPr>
        <w:t>is irrelevant to the stop time caused by “cell coverage sliding over the earth surface”</w:t>
      </w:r>
      <w:r>
        <w:rPr>
          <w:b/>
        </w:rPr>
        <w:t xml:space="preserve"> and</w:t>
      </w:r>
      <w:r w:rsidRPr="00BE0E7E">
        <w:rPr>
          <w:b/>
        </w:rPr>
        <w:t xml:space="preserve"> </w:t>
      </w:r>
      <w:r>
        <w:rPr>
          <w:b/>
        </w:rPr>
        <w:t xml:space="preserve">it </w:t>
      </w:r>
      <w:r w:rsidRPr="00BE0E7E">
        <w:rPr>
          <w:b/>
        </w:rPr>
        <w:t xml:space="preserve">is </w:t>
      </w:r>
      <w:r>
        <w:rPr>
          <w:b/>
        </w:rPr>
        <w:t xml:space="preserve">a </w:t>
      </w:r>
      <w:r w:rsidRPr="00BE0E7E">
        <w:rPr>
          <w:b/>
        </w:rPr>
        <w:t>UE-common</w:t>
      </w:r>
      <w:r>
        <w:rPr>
          <w:b/>
        </w:rPr>
        <w:t xml:space="preserve"> value</w:t>
      </w:r>
      <w:r w:rsidRPr="00BB4EFB">
        <w:rPr>
          <w:b/>
        </w:rPr>
        <w:t>.</w:t>
      </w:r>
    </w:p>
    <w:p w14:paraId="1A7BF7A4" w14:textId="6BBB590A" w:rsidR="00022714" w:rsidRPr="0098055B" w:rsidRDefault="00022714" w:rsidP="00022714">
      <w:pPr>
        <w:rPr>
          <w:b/>
          <w:bCs/>
        </w:rPr>
      </w:pPr>
      <w:r w:rsidRPr="0098055B">
        <w:rPr>
          <w:rFonts w:hint="eastAsia"/>
          <w:b/>
          <w:bCs/>
        </w:rPr>
        <w:t>P</w:t>
      </w:r>
      <w:r w:rsidRPr="0098055B">
        <w:rPr>
          <w:b/>
          <w:bCs/>
        </w:rPr>
        <w:t xml:space="preserve">roposal 1: </w:t>
      </w:r>
      <w:r>
        <w:rPr>
          <w:rFonts w:hint="eastAsia"/>
          <w:b/>
          <w:bCs/>
        </w:rPr>
        <w:t>For</w:t>
      </w:r>
      <w:r w:rsidRPr="0098055B">
        <w:rPr>
          <w:b/>
          <w:bCs/>
        </w:rPr>
        <w:t xml:space="preserve"> </w:t>
      </w:r>
      <w:r>
        <w:rPr>
          <w:b/>
          <w:bCs/>
        </w:rPr>
        <w:t xml:space="preserve">the </w:t>
      </w:r>
      <w:r w:rsidRPr="0098055B">
        <w:rPr>
          <w:b/>
          <w:bCs/>
        </w:rPr>
        <w:t xml:space="preserve">earth-moving cell, if the distance between </w:t>
      </w:r>
      <w:r>
        <w:rPr>
          <w:b/>
          <w:bCs/>
        </w:rPr>
        <w:t xml:space="preserve">the </w:t>
      </w:r>
      <w:r w:rsidRPr="0098055B">
        <w:rPr>
          <w:b/>
          <w:bCs/>
        </w:rPr>
        <w:t>UE and reference location</w:t>
      </w:r>
      <w:r>
        <w:rPr>
          <w:b/>
          <w:bCs/>
        </w:rPr>
        <w:t xml:space="preserve"> of the serving cell</w:t>
      </w:r>
      <w:r w:rsidRPr="0098055B">
        <w:rPr>
          <w:b/>
          <w:bCs/>
        </w:rPr>
        <w:t xml:space="preserve"> is larger than </w:t>
      </w:r>
      <w:r>
        <w:rPr>
          <w:b/>
          <w:bCs/>
        </w:rPr>
        <w:t xml:space="preserve">a configured </w:t>
      </w:r>
      <w:r w:rsidRPr="0098055B">
        <w:rPr>
          <w:b/>
          <w:bCs/>
        </w:rPr>
        <w:t xml:space="preserve">distance threshold, </w:t>
      </w:r>
      <w:r>
        <w:rPr>
          <w:b/>
          <w:bCs/>
        </w:rPr>
        <w:t xml:space="preserve">the </w:t>
      </w:r>
      <w:r w:rsidRPr="0098055B">
        <w:rPr>
          <w:b/>
          <w:bCs/>
        </w:rPr>
        <w:t xml:space="preserve">UE shall perform </w:t>
      </w:r>
      <w:r w:rsidR="00BE7BEB">
        <w:rPr>
          <w:b/>
          <w:bCs/>
        </w:rPr>
        <w:t>neighbour</w:t>
      </w:r>
      <w:r w:rsidRPr="0098055B">
        <w:rPr>
          <w:b/>
          <w:bCs/>
        </w:rPr>
        <w:t xml:space="preserve"> cell measurement for cell reselection</w:t>
      </w:r>
      <w:r>
        <w:rPr>
          <w:b/>
          <w:bCs/>
        </w:rPr>
        <w:t xml:space="preserve"> purpose</w:t>
      </w:r>
      <w:r w:rsidRPr="0098055B">
        <w:rPr>
          <w:b/>
          <w:bCs/>
        </w:rPr>
        <w:t>.</w:t>
      </w:r>
    </w:p>
    <w:p w14:paraId="0E73B3A6" w14:textId="00998AC1" w:rsidR="00022714" w:rsidRPr="009E4DED" w:rsidRDefault="00BE7BEB" w:rsidP="00022714">
      <w:r w:rsidRPr="00B43430">
        <w:rPr>
          <w:rFonts w:hint="eastAsia"/>
          <w:b/>
          <w:bCs/>
        </w:rPr>
        <w:t>P</w:t>
      </w:r>
      <w:r w:rsidRPr="00B43430">
        <w:rPr>
          <w:b/>
          <w:bCs/>
        </w:rPr>
        <w:t xml:space="preserve">roposal 2: </w:t>
      </w:r>
      <w:r>
        <w:rPr>
          <w:rFonts w:hint="eastAsia"/>
          <w:b/>
          <w:bCs/>
        </w:rPr>
        <w:t>For</w:t>
      </w:r>
      <w:r>
        <w:rPr>
          <w:b/>
          <w:bCs/>
        </w:rPr>
        <w:t xml:space="preserve"> the earth-moving cell, t</w:t>
      </w:r>
      <w:r w:rsidRPr="00EC1162">
        <w:rPr>
          <w:b/>
          <w:bCs/>
        </w:rPr>
        <w:t xml:space="preserve">he existing </w:t>
      </w:r>
      <w:r>
        <w:rPr>
          <w:b/>
          <w:bCs/>
        </w:rPr>
        <w:t xml:space="preserve">parameter </w:t>
      </w:r>
      <w:proofErr w:type="spellStart"/>
      <w:r w:rsidRPr="00EC1162">
        <w:rPr>
          <w:b/>
          <w:bCs/>
          <w:i/>
          <w:iCs/>
        </w:rPr>
        <w:t>distanceThresh</w:t>
      </w:r>
      <w:proofErr w:type="spellEnd"/>
      <w:r w:rsidRPr="00EC1162">
        <w:rPr>
          <w:b/>
          <w:bCs/>
          <w:i/>
          <w:iCs/>
        </w:rPr>
        <w:t xml:space="preserve"> </w:t>
      </w:r>
      <w:r w:rsidRPr="00EC1162">
        <w:rPr>
          <w:b/>
          <w:bCs/>
        </w:rPr>
        <w:t xml:space="preserve">can be </w:t>
      </w:r>
      <w:r>
        <w:rPr>
          <w:b/>
          <w:bCs/>
        </w:rPr>
        <w:t>reused to provide the distance threshold for the location-based cell reselection</w:t>
      </w:r>
      <w:r w:rsidRPr="00EC1162">
        <w:rPr>
          <w:b/>
          <w:bCs/>
        </w:rPr>
        <w:t>.</w:t>
      </w:r>
    </w:p>
    <w:p w14:paraId="241F69F4" w14:textId="77777777" w:rsidR="00022714" w:rsidRDefault="00022714" w:rsidP="00022714">
      <w:pPr>
        <w:rPr>
          <w:b/>
          <w:bCs/>
        </w:rPr>
      </w:pPr>
      <w:r>
        <w:rPr>
          <w:b/>
          <w:bCs/>
        </w:rPr>
        <w:t>Proposal 3: For the earth-moving cell, the reference location is signalled with an associated validity timer in the system information.</w:t>
      </w:r>
    </w:p>
    <w:p w14:paraId="643074A7" w14:textId="50D41E4B" w:rsidR="00022714" w:rsidRPr="002A56F7" w:rsidRDefault="00022714" w:rsidP="00022714">
      <w:pPr>
        <w:rPr>
          <w:b/>
          <w:bCs/>
        </w:rPr>
      </w:pPr>
      <w:r w:rsidRPr="002A56F7">
        <w:rPr>
          <w:rFonts w:hint="eastAsia"/>
          <w:b/>
          <w:bCs/>
        </w:rPr>
        <w:t>P</w:t>
      </w:r>
      <w:r w:rsidRPr="002A56F7">
        <w:rPr>
          <w:b/>
          <w:bCs/>
        </w:rPr>
        <w:t xml:space="preserve">roposal </w:t>
      </w:r>
      <w:r>
        <w:rPr>
          <w:b/>
          <w:bCs/>
        </w:rPr>
        <w:t>4</w:t>
      </w:r>
      <w:r w:rsidRPr="002A56F7">
        <w:rPr>
          <w:b/>
          <w:bCs/>
        </w:rPr>
        <w:t xml:space="preserve">: </w:t>
      </w:r>
      <w:r>
        <w:rPr>
          <w:b/>
          <w:bCs/>
        </w:rPr>
        <w:t>I</w:t>
      </w:r>
      <w:r w:rsidRPr="002A56F7">
        <w:rPr>
          <w:b/>
          <w:bCs/>
        </w:rPr>
        <w:t xml:space="preserve">f the validity timer of </w:t>
      </w:r>
      <w:r>
        <w:rPr>
          <w:b/>
          <w:bCs/>
        </w:rPr>
        <w:t xml:space="preserve">the </w:t>
      </w:r>
      <w:r w:rsidRPr="002A56F7">
        <w:rPr>
          <w:b/>
          <w:bCs/>
        </w:rPr>
        <w:t>reference location expir</w:t>
      </w:r>
      <w:r>
        <w:rPr>
          <w:b/>
          <w:bCs/>
        </w:rPr>
        <w:t>es</w:t>
      </w:r>
      <w:r w:rsidRPr="002A56F7">
        <w:rPr>
          <w:b/>
          <w:bCs/>
        </w:rPr>
        <w:t>, UE re-acquires the reference location from the network.</w:t>
      </w:r>
    </w:p>
    <w:p w14:paraId="6A3C9B0B" w14:textId="2EEF40D7" w:rsidR="00022714" w:rsidRDefault="00BE7BEB" w:rsidP="00022714">
      <w:pPr>
        <w:rPr>
          <w:b/>
          <w:bCs/>
        </w:rPr>
      </w:pPr>
      <w:r w:rsidRPr="00E26A42">
        <w:rPr>
          <w:rFonts w:hint="eastAsia"/>
          <w:b/>
          <w:bCs/>
        </w:rPr>
        <w:t>P</w:t>
      </w:r>
      <w:r w:rsidRPr="00E26A42">
        <w:rPr>
          <w:b/>
          <w:bCs/>
        </w:rPr>
        <w:t xml:space="preserve">roposal </w:t>
      </w:r>
      <w:r>
        <w:rPr>
          <w:b/>
          <w:bCs/>
        </w:rPr>
        <w:t>5</w:t>
      </w:r>
      <w:r w:rsidRPr="00E26A42">
        <w:rPr>
          <w:b/>
          <w:bCs/>
        </w:rPr>
        <w:t xml:space="preserve">: </w:t>
      </w:r>
      <w:r>
        <w:rPr>
          <w:b/>
          <w:bCs/>
        </w:rPr>
        <w:t>For the earth-moving cell, a</w:t>
      </w:r>
      <w:r w:rsidRPr="00E26A42">
        <w:rPr>
          <w:b/>
          <w:bCs/>
        </w:rPr>
        <w:t xml:space="preserve"> new timer should be introduced </w:t>
      </w:r>
      <w:r>
        <w:rPr>
          <w:b/>
          <w:bCs/>
        </w:rPr>
        <w:t>as the validity timer for the</w:t>
      </w:r>
      <w:r w:rsidRPr="00E26A42">
        <w:rPr>
          <w:b/>
          <w:bCs/>
        </w:rPr>
        <w:t xml:space="preserve"> reference location of </w:t>
      </w:r>
      <w:r>
        <w:rPr>
          <w:b/>
          <w:bCs/>
        </w:rPr>
        <w:t xml:space="preserve">the </w:t>
      </w:r>
      <w:r w:rsidRPr="00E26A42">
        <w:rPr>
          <w:b/>
          <w:bCs/>
        </w:rPr>
        <w:t>serving cell.</w:t>
      </w:r>
    </w:p>
    <w:p w14:paraId="2F7AB514" w14:textId="2F5BCC79" w:rsidR="00022714" w:rsidRPr="007E30AD" w:rsidRDefault="00022714" w:rsidP="00022714">
      <w:pPr>
        <w:rPr>
          <w:b/>
          <w:bCs/>
        </w:rPr>
      </w:pPr>
      <w:r w:rsidRPr="007E30AD">
        <w:rPr>
          <w:rFonts w:hint="eastAsia"/>
          <w:b/>
          <w:bCs/>
        </w:rPr>
        <w:t>P</w:t>
      </w:r>
      <w:r w:rsidRPr="007E30AD">
        <w:rPr>
          <w:b/>
          <w:bCs/>
        </w:rPr>
        <w:t xml:space="preserve">roposal </w:t>
      </w:r>
      <w:r>
        <w:rPr>
          <w:b/>
          <w:bCs/>
        </w:rPr>
        <w:t>6</w:t>
      </w:r>
      <w:r w:rsidRPr="007E30AD">
        <w:rPr>
          <w:b/>
          <w:bCs/>
        </w:rPr>
        <w:t xml:space="preserve">: </w:t>
      </w:r>
      <w:r>
        <w:rPr>
          <w:b/>
          <w:bCs/>
        </w:rPr>
        <w:t>An explicit</w:t>
      </w:r>
      <w:r w:rsidRPr="007E30AD">
        <w:rPr>
          <w:b/>
          <w:bCs/>
        </w:rPr>
        <w:t xml:space="preserve"> cell type</w:t>
      </w:r>
      <w:r>
        <w:rPr>
          <w:b/>
          <w:bCs/>
        </w:rPr>
        <w:t xml:space="preserve"> indication</w:t>
      </w:r>
      <w:r w:rsidRPr="007E30AD">
        <w:rPr>
          <w:b/>
          <w:bCs/>
        </w:rPr>
        <w:t xml:space="preserve"> (i.e., </w:t>
      </w:r>
      <w:r>
        <w:rPr>
          <w:b/>
          <w:bCs/>
        </w:rPr>
        <w:t>quasi-</w:t>
      </w:r>
      <w:r w:rsidR="00145667">
        <w:rPr>
          <w:b/>
          <w:bCs/>
        </w:rPr>
        <w:t xml:space="preserve">earth </w:t>
      </w:r>
      <w:r w:rsidRPr="007E30AD">
        <w:rPr>
          <w:b/>
          <w:bCs/>
        </w:rPr>
        <w:t xml:space="preserve">fixed </w:t>
      </w:r>
      <w:r>
        <w:rPr>
          <w:b/>
          <w:bCs/>
        </w:rPr>
        <w:t xml:space="preserve">cell </w:t>
      </w:r>
      <w:r w:rsidRPr="007E30AD">
        <w:rPr>
          <w:b/>
          <w:bCs/>
        </w:rPr>
        <w:t xml:space="preserve">or </w:t>
      </w:r>
      <w:r>
        <w:rPr>
          <w:b/>
          <w:bCs/>
        </w:rPr>
        <w:t>earth-</w:t>
      </w:r>
      <w:r w:rsidRPr="007E30AD">
        <w:rPr>
          <w:b/>
          <w:bCs/>
        </w:rPr>
        <w:t>moving</w:t>
      </w:r>
      <w:r>
        <w:rPr>
          <w:b/>
          <w:bCs/>
        </w:rPr>
        <w:t xml:space="preserve"> cell</w:t>
      </w:r>
      <w:r w:rsidRPr="007E30AD">
        <w:rPr>
          <w:b/>
          <w:bCs/>
        </w:rPr>
        <w:t>)</w:t>
      </w:r>
      <w:r>
        <w:rPr>
          <w:b/>
          <w:bCs/>
        </w:rPr>
        <w:t xml:space="preserve"> to the UE is not needed</w:t>
      </w:r>
      <w:r w:rsidRPr="007E30AD">
        <w:rPr>
          <w:b/>
          <w:bCs/>
        </w:rPr>
        <w:t>.</w:t>
      </w:r>
    </w:p>
    <w:p w14:paraId="2DDD6E45" w14:textId="77777777" w:rsidR="00022714" w:rsidRDefault="00022714" w:rsidP="00022714">
      <w:pPr>
        <w:rPr>
          <w:b/>
          <w:bCs/>
        </w:rPr>
      </w:pPr>
      <w:r w:rsidRPr="00C45E1E">
        <w:rPr>
          <w:b/>
          <w:bCs/>
        </w:rPr>
        <w:t xml:space="preserve">Proposal </w:t>
      </w:r>
      <w:r>
        <w:rPr>
          <w:b/>
          <w:bCs/>
        </w:rPr>
        <w:t>7</w:t>
      </w:r>
      <w:r w:rsidRPr="00C45E1E">
        <w:rPr>
          <w:b/>
          <w:bCs/>
        </w:rPr>
        <w:t xml:space="preserve">: For the time-based </w:t>
      </w:r>
      <w:r>
        <w:rPr>
          <w:b/>
          <w:bCs/>
        </w:rPr>
        <w:t>measurement initiation</w:t>
      </w:r>
      <w:r w:rsidRPr="00C45E1E">
        <w:rPr>
          <w:b/>
          <w:bCs/>
        </w:rPr>
        <w:t xml:space="preserve"> in the earth moving cell, two types of stop time (which intends to handle the stop time due to service-link</w:t>
      </w:r>
      <w:r>
        <w:rPr>
          <w:b/>
          <w:bCs/>
        </w:rPr>
        <w:t xml:space="preserve"> switching</w:t>
      </w:r>
      <w:r w:rsidRPr="00C45E1E">
        <w:rPr>
          <w:b/>
          <w:bCs/>
        </w:rPr>
        <w:t xml:space="preserve"> </w:t>
      </w:r>
      <w:r>
        <w:rPr>
          <w:b/>
          <w:bCs/>
        </w:rPr>
        <w:t xml:space="preserve">and </w:t>
      </w:r>
      <w:r w:rsidRPr="00C45E1E">
        <w:rPr>
          <w:b/>
          <w:bCs/>
        </w:rPr>
        <w:t xml:space="preserve">feeder-link </w:t>
      </w:r>
      <w:r>
        <w:rPr>
          <w:b/>
          <w:bCs/>
        </w:rPr>
        <w:t xml:space="preserve">switching </w:t>
      </w:r>
      <w:r w:rsidRPr="00C45E1E">
        <w:rPr>
          <w:b/>
          <w:bCs/>
        </w:rPr>
        <w:t xml:space="preserve">respectively) should be supported. </w:t>
      </w:r>
    </w:p>
    <w:p w14:paraId="22DC1F7D" w14:textId="77777777" w:rsidR="00022714" w:rsidRDefault="00022714" w:rsidP="00022714">
      <w:pPr>
        <w:rPr>
          <w:b/>
          <w:bCs/>
        </w:rPr>
      </w:pPr>
      <w:r>
        <w:rPr>
          <w:rFonts w:hint="eastAsia"/>
          <w:b/>
          <w:bCs/>
        </w:rPr>
        <w:t>P</w:t>
      </w:r>
      <w:r>
        <w:rPr>
          <w:b/>
          <w:bCs/>
        </w:rPr>
        <w:t xml:space="preserve">roposal 8: Similar to </w:t>
      </w:r>
      <w:r w:rsidRPr="005652EB">
        <w:rPr>
          <w:b/>
          <w:bCs/>
          <w:i/>
        </w:rPr>
        <w:t>t-Service</w:t>
      </w:r>
      <w:r>
        <w:rPr>
          <w:b/>
          <w:bCs/>
        </w:rPr>
        <w:t xml:space="preserve">, the </w:t>
      </w:r>
      <w:proofErr w:type="spellStart"/>
      <w:r>
        <w:rPr>
          <w:b/>
          <w:bCs/>
        </w:rPr>
        <w:t>gNB</w:t>
      </w:r>
      <w:proofErr w:type="spellEnd"/>
      <w:r>
        <w:rPr>
          <w:b/>
          <w:bCs/>
        </w:rPr>
        <w:t xml:space="preserve"> configures a cell-level serving cell stop time that covers the stop time due to feeder-link switching in the earth-moving cell. </w:t>
      </w:r>
    </w:p>
    <w:p w14:paraId="71B0D0C1" w14:textId="77777777" w:rsidR="00022714" w:rsidRPr="00C45E1E" w:rsidRDefault="00022714" w:rsidP="00022714">
      <w:pPr>
        <w:rPr>
          <w:b/>
          <w:bCs/>
        </w:rPr>
      </w:pPr>
      <w:r>
        <w:rPr>
          <w:b/>
          <w:bCs/>
        </w:rPr>
        <w:t>Proposal 9: Similar to the location-based criterion, the UE calculates a stop time based on</w:t>
      </w:r>
      <w:r w:rsidRPr="004B2787">
        <w:rPr>
          <w:b/>
          <w:bCs/>
        </w:rPr>
        <w:t xml:space="preserve"> </w:t>
      </w:r>
      <w:r w:rsidRPr="0059502A">
        <w:rPr>
          <w:b/>
          <w:bCs/>
        </w:rPr>
        <w:t xml:space="preserve">the distance between </w:t>
      </w:r>
      <w:r>
        <w:rPr>
          <w:b/>
          <w:bCs/>
        </w:rPr>
        <w:t xml:space="preserve">the </w:t>
      </w:r>
      <w:r w:rsidRPr="0059502A">
        <w:rPr>
          <w:b/>
          <w:bCs/>
        </w:rPr>
        <w:t xml:space="preserve">UE and reference location of serving cell </w:t>
      </w:r>
      <w:r>
        <w:rPr>
          <w:b/>
          <w:bCs/>
        </w:rPr>
        <w:t>to cover the stop time due to service-link switching.</w:t>
      </w:r>
    </w:p>
    <w:p w14:paraId="090BEFE7" w14:textId="77777777" w:rsidR="004F78C5" w:rsidRDefault="00022714" w:rsidP="004F78C5">
      <w:pPr>
        <w:rPr>
          <w:b/>
          <w:bCs/>
        </w:rPr>
      </w:pPr>
      <w:r w:rsidRPr="00C45E1E" w:rsidDel="004B2787">
        <w:rPr>
          <w:b/>
          <w:bCs/>
        </w:rPr>
        <w:t xml:space="preserve">Proposal </w:t>
      </w:r>
      <w:r>
        <w:rPr>
          <w:b/>
          <w:bCs/>
        </w:rPr>
        <w:t>10</w:t>
      </w:r>
      <w:r w:rsidRPr="00C45E1E" w:rsidDel="004B2787">
        <w:rPr>
          <w:b/>
          <w:bCs/>
        </w:rPr>
        <w:t>: The UE should start neighbour cell measurements before either type of stop time is reached.</w:t>
      </w:r>
    </w:p>
    <w:p w14:paraId="2D85E954" w14:textId="0DF848C2" w:rsidR="00022714" w:rsidRPr="00931C3D" w:rsidRDefault="00022714" w:rsidP="004F78C5">
      <w:pPr>
        <w:rPr>
          <w:b/>
          <w:bCs/>
        </w:rPr>
      </w:pPr>
      <w:r w:rsidRPr="00931C3D">
        <w:rPr>
          <w:rFonts w:hint="eastAsia"/>
          <w:b/>
          <w:bCs/>
        </w:rPr>
        <w:lastRenderedPageBreak/>
        <w:t>P</w:t>
      </w:r>
      <w:r w:rsidRPr="00931C3D">
        <w:rPr>
          <w:b/>
          <w:bCs/>
        </w:rPr>
        <w:t xml:space="preserve">roposal </w:t>
      </w:r>
      <w:r>
        <w:rPr>
          <w:b/>
          <w:bCs/>
        </w:rPr>
        <w:t>11</w:t>
      </w:r>
      <w:r w:rsidRPr="00931C3D">
        <w:rPr>
          <w:b/>
          <w:bCs/>
        </w:rPr>
        <w:t>:</w:t>
      </w:r>
      <w:r>
        <w:rPr>
          <w:b/>
          <w:bCs/>
        </w:rPr>
        <w:t xml:space="preserve"> For NTN-TN mobility,</w:t>
      </w:r>
      <w:r w:rsidRPr="00931C3D">
        <w:rPr>
          <w:b/>
          <w:bCs/>
        </w:rPr>
        <w:t xml:space="preserve"> </w:t>
      </w:r>
      <w:r>
        <w:rPr>
          <w:b/>
          <w:bCs/>
        </w:rPr>
        <w:t xml:space="preserve">an RRC_IDLE/RRC_INACTIVE </w:t>
      </w:r>
      <w:r w:rsidRPr="00931C3D">
        <w:rPr>
          <w:b/>
          <w:bCs/>
        </w:rPr>
        <w:t>UE is not required to perform neighbo</w:t>
      </w:r>
      <w:r>
        <w:rPr>
          <w:b/>
          <w:bCs/>
        </w:rPr>
        <w:t>u</w:t>
      </w:r>
      <w:r w:rsidRPr="00931C3D">
        <w:rPr>
          <w:b/>
          <w:bCs/>
        </w:rPr>
        <w:t xml:space="preserve">r cell measurements for a TN </w:t>
      </w:r>
      <w:r w:rsidRPr="00931C3D">
        <w:rPr>
          <w:rFonts w:hint="eastAsia"/>
          <w:b/>
          <w:bCs/>
        </w:rPr>
        <w:t>frequency</w:t>
      </w:r>
      <w:r w:rsidRPr="00931C3D">
        <w:rPr>
          <w:b/>
          <w:bCs/>
        </w:rPr>
        <w:t xml:space="preserve"> in </w:t>
      </w:r>
      <w:r>
        <w:rPr>
          <w:b/>
          <w:bCs/>
        </w:rPr>
        <w:t>the</w:t>
      </w:r>
      <w:r w:rsidRPr="00931C3D">
        <w:rPr>
          <w:b/>
          <w:bCs/>
        </w:rPr>
        <w:t xml:space="preserve"> area where there is no coverage of that frequency.</w:t>
      </w:r>
    </w:p>
    <w:p w14:paraId="5AFDB3EA" w14:textId="12FF9A2A" w:rsidR="00D735FA" w:rsidRPr="00022714" w:rsidRDefault="00022714" w:rsidP="00F71FEA">
      <w:pPr>
        <w:spacing w:before="180"/>
        <w:rPr>
          <w:b/>
          <w:bCs/>
        </w:rPr>
      </w:pPr>
      <w:r w:rsidRPr="00337DC0">
        <w:rPr>
          <w:rFonts w:hint="eastAsia"/>
          <w:b/>
          <w:bCs/>
        </w:rPr>
        <w:t>P</w:t>
      </w:r>
      <w:r w:rsidRPr="00337DC0">
        <w:rPr>
          <w:b/>
          <w:bCs/>
        </w:rPr>
        <w:t>roposal 1</w:t>
      </w:r>
      <w:r>
        <w:rPr>
          <w:b/>
          <w:bCs/>
        </w:rPr>
        <w:t>2</w:t>
      </w:r>
      <w:r w:rsidRPr="00337DC0">
        <w:rPr>
          <w:b/>
          <w:bCs/>
        </w:rPr>
        <w:t xml:space="preserve">: </w:t>
      </w:r>
      <w:r>
        <w:rPr>
          <w:b/>
          <w:bCs/>
        </w:rPr>
        <w:t>A r</w:t>
      </w:r>
      <w:r w:rsidRPr="00337DC0">
        <w:rPr>
          <w:b/>
          <w:bCs/>
        </w:rPr>
        <w:t xml:space="preserve">eference point and </w:t>
      </w:r>
      <w:r>
        <w:rPr>
          <w:b/>
          <w:bCs/>
        </w:rPr>
        <w:t xml:space="preserve">a </w:t>
      </w:r>
      <w:r w:rsidRPr="00337DC0">
        <w:rPr>
          <w:b/>
          <w:bCs/>
        </w:rPr>
        <w:t xml:space="preserve">distance threshold can be used to </w:t>
      </w:r>
      <w:r>
        <w:rPr>
          <w:b/>
          <w:bCs/>
        </w:rPr>
        <w:t>indicate</w:t>
      </w:r>
      <w:r w:rsidRPr="00337DC0">
        <w:rPr>
          <w:b/>
          <w:bCs/>
        </w:rPr>
        <w:t xml:space="preserve"> TN coverage</w:t>
      </w:r>
      <w:r>
        <w:rPr>
          <w:b/>
          <w:bCs/>
        </w:rPr>
        <w:t xml:space="preserve">. They </w:t>
      </w:r>
      <w:r w:rsidRPr="00337DC0">
        <w:rPr>
          <w:b/>
          <w:bCs/>
        </w:rPr>
        <w:t xml:space="preserve">can be </w:t>
      </w:r>
      <w:r>
        <w:rPr>
          <w:b/>
          <w:bCs/>
        </w:rPr>
        <w:t>configured</w:t>
      </w:r>
      <w:r w:rsidRPr="00337DC0">
        <w:rPr>
          <w:b/>
          <w:bCs/>
        </w:rPr>
        <w:t xml:space="preserve"> </w:t>
      </w:r>
      <w:r>
        <w:rPr>
          <w:b/>
          <w:bCs/>
        </w:rPr>
        <w:t>per frequency to indicate the TN coverage provided by the corresponding frequency</w:t>
      </w:r>
      <w:r w:rsidRPr="00337DC0">
        <w:rPr>
          <w:b/>
          <w:bCs/>
        </w:rPr>
        <w:t>.</w:t>
      </w:r>
    </w:p>
    <w:p w14:paraId="3059CDD5" w14:textId="77777777" w:rsidR="00137B81" w:rsidRDefault="00505CF9">
      <w:pPr>
        <w:pStyle w:val="1"/>
        <w:spacing w:before="180" w:line="240" w:lineRule="auto"/>
        <w:ind w:left="0" w:firstLine="0"/>
        <w:jc w:val="left"/>
      </w:pPr>
      <w:r>
        <w:t>Reference</w:t>
      </w:r>
    </w:p>
    <w:bookmarkEnd w:id="6"/>
    <w:p w14:paraId="252D71DA" w14:textId="4F19FFA7" w:rsidR="0082259B" w:rsidRDefault="009D6F2D" w:rsidP="007E1288">
      <w:pPr>
        <w:numPr>
          <w:ilvl w:val="0"/>
          <w:numId w:val="12"/>
        </w:numPr>
      </w:pPr>
      <w:r w:rsidRPr="009D6F2D">
        <w:t>Report of 3GPP TSG RAN WG2 meeting #11</w:t>
      </w:r>
      <w:r>
        <w:t>9</w:t>
      </w:r>
      <w:r w:rsidR="008751FA">
        <w:t>bis-</w:t>
      </w:r>
      <w:r w:rsidRPr="009D6F2D">
        <w:t>e, Online</w:t>
      </w:r>
    </w:p>
    <w:p w14:paraId="33719843" w14:textId="2FFEF150" w:rsidR="00D9230E" w:rsidRPr="007E1288" w:rsidRDefault="00D9230E" w:rsidP="007E1288">
      <w:pPr>
        <w:numPr>
          <w:ilvl w:val="0"/>
          <w:numId w:val="12"/>
        </w:numPr>
        <w:rPr>
          <w:rStyle w:val="af5"/>
          <w:color w:val="auto"/>
          <w:u w:val="none"/>
        </w:rPr>
      </w:pPr>
      <w:r w:rsidRPr="00D9230E">
        <w:rPr>
          <w:rStyle w:val="af5"/>
          <w:color w:val="auto"/>
          <w:u w:val="none"/>
        </w:rPr>
        <w:t>R2-2210860</w:t>
      </w:r>
      <w:r>
        <w:rPr>
          <w:rStyle w:val="af5"/>
          <w:color w:val="auto"/>
          <w:u w:val="none"/>
        </w:rPr>
        <w:t xml:space="preserve"> </w:t>
      </w:r>
      <w:r w:rsidR="00BE7BEB" w:rsidRPr="00BE7BEB">
        <w:rPr>
          <w:rStyle w:val="af5"/>
          <w:color w:val="auto"/>
          <w:u w:val="none"/>
        </w:rPr>
        <w:t>Report of [AT119bis-</w:t>
      </w:r>
      <w:proofErr w:type="gramStart"/>
      <w:r w:rsidR="00BE7BEB" w:rsidRPr="00BE7BEB">
        <w:rPr>
          <w:rStyle w:val="af5"/>
          <w:color w:val="auto"/>
          <w:u w:val="none"/>
        </w:rPr>
        <w:t>e][</w:t>
      </w:r>
      <w:proofErr w:type="gramEnd"/>
      <w:r w:rsidR="00BE7BEB" w:rsidRPr="00BE7BEB">
        <w:rPr>
          <w:rStyle w:val="af5"/>
          <w:color w:val="auto"/>
          <w:u w:val="none"/>
        </w:rPr>
        <w:t xml:space="preserve">117][NR NTN </w:t>
      </w:r>
      <w:proofErr w:type="spellStart"/>
      <w:r w:rsidR="00BE7BEB" w:rsidRPr="00BE7BEB">
        <w:rPr>
          <w:rStyle w:val="af5"/>
          <w:color w:val="auto"/>
          <w:u w:val="none"/>
        </w:rPr>
        <w:t>Enh</w:t>
      </w:r>
      <w:proofErr w:type="spellEnd"/>
      <w:r w:rsidR="00BE7BEB" w:rsidRPr="00BE7BEB">
        <w:rPr>
          <w:rStyle w:val="af5"/>
          <w:color w:val="auto"/>
          <w:u w:val="none"/>
        </w:rPr>
        <w:t>] cell reselection enhancements (Intel)</w:t>
      </w:r>
      <w:r w:rsidR="00BE7BEB" w:rsidRPr="00BE7BEB" w:rsidDel="00BE7BEB">
        <w:rPr>
          <w:rStyle w:val="af5"/>
          <w:color w:val="auto"/>
          <w:u w:val="none"/>
        </w:rPr>
        <w:t xml:space="preserve"> </w:t>
      </w:r>
    </w:p>
    <w:sectPr w:rsidR="00D9230E" w:rsidRPr="007E1288">
      <w:footerReference w:type="defaul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105C" w16cex:dateUtc="2022-11-03T02:03:00Z"/>
  <w16cex:commentExtensible w16cex:durableId="270E11A2" w16cex:dateUtc="2022-11-03T02: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41251" w14:textId="77777777" w:rsidR="00B07225" w:rsidRDefault="00B07225">
      <w:pPr>
        <w:spacing w:after="0" w:line="240" w:lineRule="auto"/>
      </w:pPr>
      <w:r>
        <w:separator/>
      </w:r>
    </w:p>
  </w:endnote>
  <w:endnote w:type="continuationSeparator" w:id="0">
    <w:p w14:paraId="1073983E" w14:textId="77777777" w:rsidR="00B07225" w:rsidRDefault="00B07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DA4A65" w:rsidRDefault="00DA4A65">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696C2" w14:textId="77777777" w:rsidR="00B07225" w:rsidRDefault="00B07225">
      <w:pPr>
        <w:spacing w:after="0" w:line="240" w:lineRule="auto"/>
      </w:pPr>
      <w:r>
        <w:separator/>
      </w:r>
    </w:p>
  </w:footnote>
  <w:footnote w:type="continuationSeparator" w:id="0">
    <w:p w14:paraId="36C07A34" w14:textId="77777777" w:rsidR="00B07225" w:rsidRDefault="00B072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CED4C117"/>
    <w:multiLevelType w:val="singleLevel"/>
    <w:tmpl w:val="CED4C117"/>
    <w:lvl w:ilvl="0">
      <w:start w:val="1"/>
      <w:numFmt w:val="bullet"/>
      <w:lvlText w:val=""/>
      <w:lvlJc w:val="left"/>
      <w:pPr>
        <w:ind w:left="420" w:hanging="420"/>
      </w:pPr>
      <w:rPr>
        <w:rFonts w:ascii="Wingdings" w:hAnsi="Wingding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407654"/>
    <w:lvl w:ilvl="0">
      <w:start w:val="1"/>
      <w:numFmt w:val="decimal"/>
      <w:pStyle w:val="1"/>
      <w:lvlText w:val="%1."/>
      <w:lvlJc w:val="left"/>
      <w:pPr>
        <w:tabs>
          <w:tab w:val="left" w:pos="5818"/>
        </w:tabs>
        <w:ind w:left="5818"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048519CE"/>
    <w:multiLevelType w:val="hybridMultilevel"/>
    <w:tmpl w:val="AD20351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15A5141B"/>
    <w:multiLevelType w:val="hybridMultilevel"/>
    <w:tmpl w:val="437AFB80"/>
    <w:lvl w:ilvl="0" w:tplc="FFFFFFFF">
      <w:start w:val="1"/>
      <w:numFmt w:val="decimal"/>
      <w:lvlText w:val="%1."/>
      <w:lvlJc w:val="left"/>
      <w:pPr>
        <w:ind w:left="1352" w:hanging="360"/>
      </w:pPr>
      <w:rPr>
        <w:rFonts w:hint="default"/>
      </w:rPr>
    </w:lvl>
    <w:lvl w:ilvl="1" w:tplc="FFFFFFFF" w:tentative="1">
      <w:start w:val="1"/>
      <w:numFmt w:val="lowerLetter"/>
      <w:lvlText w:val="%2."/>
      <w:lvlJc w:val="left"/>
      <w:pPr>
        <w:ind w:left="2072" w:hanging="360"/>
      </w:pPr>
    </w:lvl>
    <w:lvl w:ilvl="2" w:tplc="FFFFFFFF" w:tentative="1">
      <w:start w:val="1"/>
      <w:numFmt w:val="lowerRoman"/>
      <w:lvlText w:val="%3."/>
      <w:lvlJc w:val="right"/>
      <w:pPr>
        <w:ind w:left="2792" w:hanging="180"/>
      </w:pPr>
    </w:lvl>
    <w:lvl w:ilvl="3" w:tplc="FFFFFFFF" w:tentative="1">
      <w:start w:val="1"/>
      <w:numFmt w:val="decimal"/>
      <w:lvlText w:val="%4."/>
      <w:lvlJc w:val="left"/>
      <w:pPr>
        <w:ind w:left="3512" w:hanging="360"/>
      </w:pPr>
    </w:lvl>
    <w:lvl w:ilvl="4" w:tplc="FFFFFFFF" w:tentative="1">
      <w:start w:val="1"/>
      <w:numFmt w:val="lowerLetter"/>
      <w:lvlText w:val="%5."/>
      <w:lvlJc w:val="left"/>
      <w:pPr>
        <w:ind w:left="4232" w:hanging="360"/>
      </w:pPr>
    </w:lvl>
    <w:lvl w:ilvl="5" w:tplc="FFFFFFFF" w:tentative="1">
      <w:start w:val="1"/>
      <w:numFmt w:val="lowerRoman"/>
      <w:lvlText w:val="%6."/>
      <w:lvlJc w:val="right"/>
      <w:pPr>
        <w:ind w:left="4952" w:hanging="180"/>
      </w:pPr>
    </w:lvl>
    <w:lvl w:ilvl="6" w:tplc="FFFFFFFF" w:tentative="1">
      <w:start w:val="1"/>
      <w:numFmt w:val="decimal"/>
      <w:lvlText w:val="%7."/>
      <w:lvlJc w:val="left"/>
      <w:pPr>
        <w:ind w:left="5672" w:hanging="360"/>
      </w:pPr>
    </w:lvl>
    <w:lvl w:ilvl="7" w:tplc="FFFFFFFF" w:tentative="1">
      <w:start w:val="1"/>
      <w:numFmt w:val="lowerLetter"/>
      <w:lvlText w:val="%8."/>
      <w:lvlJc w:val="left"/>
      <w:pPr>
        <w:ind w:left="6392" w:hanging="360"/>
      </w:pPr>
    </w:lvl>
    <w:lvl w:ilvl="8" w:tplc="FFFFFFFF" w:tentative="1">
      <w:start w:val="1"/>
      <w:numFmt w:val="lowerRoman"/>
      <w:lvlText w:val="%9."/>
      <w:lvlJc w:val="right"/>
      <w:pPr>
        <w:ind w:left="7112" w:hanging="180"/>
      </w:pPr>
    </w:lvl>
  </w:abstractNum>
  <w:abstractNum w:abstractNumId="7" w15:restartNumberingAfterBreak="0">
    <w:nsid w:val="16F2714A"/>
    <w:multiLevelType w:val="hybridMultilevel"/>
    <w:tmpl w:val="AD20351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19562973"/>
    <w:multiLevelType w:val="multilevel"/>
    <w:tmpl w:val="19562973"/>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0" w15:restartNumberingAfterBreak="0">
    <w:nsid w:val="1BFE15FA"/>
    <w:multiLevelType w:val="hybridMultilevel"/>
    <w:tmpl w:val="AC2EC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C61ADC"/>
    <w:multiLevelType w:val="hybridMultilevel"/>
    <w:tmpl w:val="3CAE6774"/>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BC97D9D"/>
    <w:multiLevelType w:val="hybridMultilevel"/>
    <w:tmpl w:val="AC3ADA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E31892"/>
    <w:multiLevelType w:val="hybridMultilevel"/>
    <w:tmpl w:val="437AFB8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2EF40576"/>
    <w:multiLevelType w:val="hybridMultilevel"/>
    <w:tmpl w:val="67662834"/>
    <w:lvl w:ilvl="0" w:tplc="8EDC2BF0">
      <w:numFmt w:val="bullet"/>
      <w:lvlText w:val="-"/>
      <w:lvlJc w:val="left"/>
      <w:pPr>
        <w:ind w:left="5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87475B4"/>
    <w:multiLevelType w:val="hybridMultilevel"/>
    <w:tmpl w:val="989E93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AE81CCA"/>
    <w:multiLevelType w:val="hybridMultilevel"/>
    <w:tmpl w:val="AD20351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A4B7262"/>
    <w:multiLevelType w:val="hybridMultilevel"/>
    <w:tmpl w:val="0A743E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5" w15:restartNumberingAfterBreak="0">
    <w:nsid w:val="57483ABE"/>
    <w:multiLevelType w:val="hybridMultilevel"/>
    <w:tmpl w:val="75129B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54B2955"/>
    <w:multiLevelType w:val="hybridMultilevel"/>
    <w:tmpl w:val="37EE160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09474B"/>
    <w:multiLevelType w:val="multilevel"/>
    <w:tmpl w:val="7009474B"/>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4DD0A75"/>
    <w:multiLevelType w:val="multilevel"/>
    <w:tmpl w:val="74DD0A75"/>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32" w15:restartNumberingAfterBreak="0">
    <w:nsid w:val="764B746B"/>
    <w:multiLevelType w:val="hybridMultilevel"/>
    <w:tmpl w:val="F976B1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527B35"/>
    <w:multiLevelType w:val="singleLevel"/>
    <w:tmpl w:val="76527B35"/>
    <w:lvl w:ilvl="0">
      <w:start w:val="1"/>
      <w:numFmt w:val="decimal"/>
      <w:suff w:val="space"/>
      <w:lvlText w:val="%1."/>
      <w:lvlJc w:val="left"/>
    </w:lvl>
  </w:abstractNum>
  <w:abstractNum w:abstractNumId="34" w15:restartNumberingAfterBreak="0">
    <w:nsid w:val="76D17C0F"/>
    <w:multiLevelType w:val="hybridMultilevel"/>
    <w:tmpl w:val="1DB641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241CF9"/>
    <w:multiLevelType w:val="hybridMultilevel"/>
    <w:tmpl w:val="40CC4F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931A4F"/>
    <w:multiLevelType w:val="hybridMultilevel"/>
    <w:tmpl w:val="AD20351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8"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
  </w:num>
  <w:num w:numId="2">
    <w:abstractNumId w:val="18"/>
  </w:num>
  <w:num w:numId="3">
    <w:abstractNumId w:val="22"/>
  </w:num>
  <w:num w:numId="4">
    <w:abstractNumId w:val="8"/>
  </w:num>
  <w:num w:numId="5">
    <w:abstractNumId w:val="16"/>
  </w:num>
  <w:num w:numId="6">
    <w:abstractNumId w:val="30"/>
  </w:num>
  <w:num w:numId="7">
    <w:abstractNumId w:val="24"/>
  </w:num>
  <w:num w:numId="8">
    <w:abstractNumId w:val="29"/>
  </w:num>
  <w:num w:numId="9">
    <w:abstractNumId w:val="31"/>
  </w:num>
  <w:num w:numId="10">
    <w:abstractNumId w:val="9"/>
  </w:num>
  <w:num w:numId="11">
    <w:abstractNumId w:val="1"/>
  </w:num>
  <w:num w:numId="12">
    <w:abstractNumId w:val="0"/>
  </w:num>
  <w:num w:numId="13">
    <w:abstractNumId w:val="4"/>
  </w:num>
  <w:num w:numId="14">
    <w:abstractNumId w:val="4"/>
  </w:num>
  <w:num w:numId="15">
    <w:abstractNumId w:val="27"/>
  </w:num>
  <w:num w:numId="16">
    <w:abstractNumId w:val="26"/>
  </w:num>
  <w:num w:numId="17">
    <w:abstractNumId w:val="18"/>
  </w:num>
  <w:num w:numId="18">
    <w:abstractNumId w:val="23"/>
  </w:num>
  <w:num w:numId="19">
    <w:abstractNumId w:val="15"/>
  </w:num>
  <w:num w:numId="20">
    <w:abstractNumId w:val="2"/>
  </w:num>
  <w:num w:numId="21">
    <w:abstractNumId w:val="13"/>
  </w:num>
  <w:num w:numId="2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8"/>
  </w:num>
  <w:num w:numId="25">
    <w:abstractNumId w:val="33"/>
  </w:num>
  <w:num w:numId="26">
    <w:abstractNumId w:val="10"/>
  </w:num>
  <w:num w:numId="27">
    <w:abstractNumId w:val="17"/>
  </w:num>
  <w:num w:numId="28">
    <w:abstractNumId w:val="21"/>
  </w:num>
  <w:num w:numId="29">
    <w:abstractNumId w:val="34"/>
  </w:num>
  <w:num w:numId="30">
    <w:abstractNumId w:val="36"/>
  </w:num>
  <w:num w:numId="31">
    <w:abstractNumId w:val="32"/>
  </w:num>
  <w:num w:numId="32">
    <w:abstractNumId w:val="25"/>
  </w:num>
  <w:num w:numId="33">
    <w:abstractNumId w:val="35"/>
  </w:num>
  <w:num w:numId="34">
    <w:abstractNumId w:val="4"/>
  </w:num>
  <w:num w:numId="35">
    <w:abstractNumId w:val="4"/>
  </w:num>
  <w:num w:numId="36">
    <w:abstractNumId w:val="20"/>
  </w:num>
  <w:num w:numId="37">
    <w:abstractNumId w:val="11"/>
  </w:num>
  <w:num w:numId="38">
    <w:abstractNumId w:val="14"/>
  </w:num>
  <w:num w:numId="39">
    <w:abstractNumId w:val="6"/>
  </w:num>
  <w:num w:numId="40">
    <w:abstractNumId w:val="12"/>
  </w:num>
  <w:num w:numId="41">
    <w:abstractNumId w:val="38"/>
  </w:num>
  <w:num w:numId="42">
    <w:abstractNumId w:val="5"/>
  </w:num>
  <w:num w:numId="43">
    <w:abstractNumId w:val="37"/>
  </w:num>
  <w:num w:numId="44">
    <w:abstractNumId w:val="19"/>
  </w:num>
  <w:num w:numId="45">
    <w:abstractNumId w:val="7"/>
  </w:num>
  <w:num w:numId="46">
    <w:abstractNumId w:val="4"/>
  </w:num>
  <w:num w:numId="47">
    <w:abstractNumId w:val="4"/>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mPTWgBQ3IfC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6B31"/>
    <w:rsid w:val="000070C8"/>
    <w:rsid w:val="000073F2"/>
    <w:rsid w:val="00007645"/>
    <w:rsid w:val="00007DDA"/>
    <w:rsid w:val="0001015D"/>
    <w:rsid w:val="000103B4"/>
    <w:rsid w:val="0001078A"/>
    <w:rsid w:val="0001126E"/>
    <w:rsid w:val="0001154B"/>
    <w:rsid w:val="00011AEF"/>
    <w:rsid w:val="00011C1B"/>
    <w:rsid w:val="0001255F"/>
    <w:rsid w:val="000127B4"/>
    <w:rsid w:val="00012F38"/>
    <w:rsid w:val="0001339A"/>
    <w:rsid w:val="000136FE"/>
    <w:rsid w:val="0001380D"/>
    <w:rsid w:val="00013A3B"/>
    <w:rsid w:val="00013F61"/>
    <w:rsid w:val="000143D0"/>
    <w:rsid w:val="00015479"/>
    <w:rsid w:val="000154C5"/>
    <w:rsid w:val="00015626"/>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438"/>
    <w:rsid w:val="0002174B"/>
    <w:rsid w:val="00021EC9"/>
    <w:rsid w:val="000225F0"/>
    <w:rsid w:val="00022714"/>
    <w:rsid w:val="000228C6"/>
    <w:rsid w:val="00022AA4"/>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27B7A"/>
    <w:rsid w:val="0003079B"/>
    <w:rsid w:val="00030CC4"/>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247"/>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5FBA"/>
    <w:rsid w:val="00056DB8"/>
    <w:rsid w:val="00057A07"/>
    <w:rsid w:val="00057CF4"/>
    <w:rsid w:val="0006047C"/>
    <w:rsid w:val="00060988"/>
    <w:rsid w:val="00060BF5"/>
    <w:rsid w:val="00060C6D"/>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5B"/>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3D79"/>
    <w:rsid w:val="00073FE9"/>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8E6"/>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BAE"/>
    <w:rsid w:val="00085CAE"/>
    <w:rsid w:val="000862C0"/>
    <w:rsid w:val="00086763"/>
    <w:rsid w:val="00086B41"/>
    <w:rsid w:val="00086FB4"/>
    <w:rsid w:val="000874F6"/>
    <w:rsid w:val="00090031"/>
    <w:rsid w:val="000902B7"/>
    <w:rsid w:val="000902C1"/>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A52"/>
    <w:rsid w:val="000A4EC4"/>
    <w:rsid w:val="000A5645"/>
    <w:rsid w:val="000A68BB"/>
    <w:rsid w:val="000A6A85"/>
    <w:rsid w:val="000A6F6B"/>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2D5"/>
    <w:rsid w:val="000B4CFF"/>
    <w:rsid w:val="000B4D87"/>
    <w:rsid w:val="000B4E3C"/>
    <w:rsid w:val="000B5F70"/>
    <w:rsid w:val="000B60D6"/>
    <w:rsid w:val="000B61FA"/>
    <w:rsid w:val="000B645F"/>
    <w:rsid w:val="000B660F"/>
    <w:rsid w:val="000B6C01"/>
    <w:rsid w:val="000B6FC4"/>
    <w:rsid w:val="000B7A9C"/>
    <w:rsid w:val="000B7C8E"/>
    <w:rsid w:val="000B7D6F"/>
    <w:rsid w:val="000B7D99"/>
    <w:rsid w:val="000C0740"/>
    <w:rsid w:val="000C0A8B"/>
    <w:rsid w:val="000C0C55"/>
    <w:rsid w:val="000C10DA"/>
    <w:rsid w:val="000C1737"/>
    <w:rsid w:val="000C1C0B"/>
    <w:rsid w:val="000C23AB"/>
    <w:rsid w:val="000C29EC"/>
    <w:rsid w:val="000C2A75"/>
    <w:rsid w:val="000C2C1D"/>
    <w:rsid w:val="000C313D"/>
    <w:rsid w:val="000C3236"/>
    <w:rsid w:val="000C3BF4"/>
    <w:rsid w:val="000C3EE9"/>
    <w:rsid w:val="000C41BD"/>
    <w:rsid w:val="000C460F"/>
    <w:rsid w:val="000C48B2"/>
    <w:rsid w:val="000C4E16"/>
    <w:rsid w:val="000C55A9"/>
    <w:rsid w:val="000C57BF"/>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A34"/>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452A"/>
    <w:rsid w:val="000E502E"/>
    <w:rsid w:val="000E5A65"/>
    <w:rsid w:val="000E5FDE"/>
    <w:rsid w:val="000E69F8"/>
    <w:rsid w:val="000E778C"/>
    <w:rsid w:val="000E7CE0"/>
    <w:rsid w:val="000F03D3"/>
    <w:rsid w:val="000F04B1"/>
    <w:rsid w:val="000F0EA9"/>
    <w:rsid w:val="000F1473"/>
    <w:rsid w:val="000F2071"/>
    <w:rsid w:val="000F2234"/>
    <w:rsid w:val="000F231C"/>
    <w:rsid w:val="000F272B"/>
    <w:rsid w:val="000F2BF4"/>
    <w:rsid w:val="000F367C"/>
    <w:rsid w:val="000F3711"/>
    <w:rsid w:val="000F3AA2"/>
    <w:rsid w:val="000F3C57"/>
    <w:rsid w:val="000F48C0"/>
    <w:rsid w:val="000F49A2"/>
    <w:rsid w:val="000F4C96"/>
    <w:rsid w:val="000F4E17"/>
    <w:rsid w:val="000F5700"/>
    <w:rsid w:val="000F583A"/>
    <w:rsid w:val="000F589B"/>
    <w:rsid w:val="000F5C63"/>
    <w:rsid w:val="000F5D82"/>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597"/>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A85"/>
    <w:rsid w:val="00126B68"/>
    <w:rsid w:val="00126C8E"/>
    <w:rsid w:val="00127607"/>
    <w:rsid w:val="0013042A"/>
    <w:rsid w:val="00130B10"/>
    <w:rsid w:val="00130C36"/>
    <w:rsid w:val="00130E2A"/>
    <w:rsid w:val="0013120D"/>
    <w:rsid w:val="00131E12"/>
    <w:rsid w:val="00131E5C"/>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2D9"/>
    <w:rsid w:val="00140725"/>
    <w:rsid w:val="00140BC0"/>
    <w:rsid w:val="00141F63"/>
    <w:rsid w:val="00142233"/>
    <w:rsid w:val="001425DE"/>
    <w:rsid w:val="00142856"/>
    <w:rsid w:val="00142B77"/>
    <w:rsid w:val="00143254"/>
    <w:rsid w:val="00143609"/>
    <w:rsid w:val="00143A70"/>
    <w:rsid w:val="00143D15"/>
    <w:rsid w:val="001444CE"/>
    <w:rsid w:val="00144B53"/>
    <w:rsid w:val="00144C58"/>
    <w:rsid w:val="00144D2C"/>
    <w:rsid w:val="00145667"/>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1FE9"/>
    <w:rsid w:val="00152023"/>
    <w:rsid w:val="0015225E"/>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57A2A"/>
    <w:rsid w:val="00157B87"/>
    <w:rsid w:val="001609C0"/>
    <w:rsid w:val="00160D26"/>
    <w:rsid w:val="00160F5E"/>
    <w:rsid w:val="00161188"/>
    <w:rsid w:val="001617DC"/>
    <w:rsid w:val="001618F1"/>
    <w:rsid w:val="00161A91"/>
    <w:rsid w:val="00161C9E"/>
    <w:rsid w:val="00161CCD"/>
    <w:rsid w:val="00162191"/>
    <w:rsid w:val="0016222A"/>
    <w:rsid w:val="00162451"/>
    <w:rsid w:val="00162491"/>
    <w:rsid w:val="00163594"/>
    <w:rsid w:val="001635B1"/>
    <w:rsid w:val="001637E4"/>
    <w:rsid w:val="00163928"/>
    <w:rsid w:val="00163995"/>
    <w:rsid w:val="001639E1"/>
    <w:rsid w:val="00163F19"/>
    <w:rsid w:val="001642C8"/>
    <w:rsid w:val="00164B98"/>
    <w:rsid w:val="00164CEC"/>
    <w:rsid w:val="00164F05"/>
    <w:rsid w:val="001656D9"/>
    <w:rsid w:val="00165C12"/>
    <w:rsid w:val="0016623D"/>
    <w:rsid w:val="00166263"/>
    <w:rsid w:val="001667BE"/>
    <w:rsid w:val="00166AAD"/>
    <w:rsid w:val="00167C78"/>
    <w:rsid w:val="00170133"/>
    <w:rsid w:val="0017013D"/>
    <w:rsid w:val="0017025A"/>
    <w:rsid w:val="001706B4"/>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4DF9"/>
    <w:rsid w:val="001755AE"/>
    <w:rsid w:val="00175CBE"/>
    <w:rsid w:val="0017612D"/>
    <w:rsid w:val="001763FC"/>
    <w:rsid w:val="00176A05"/>
    <w:rsid w:val="00176BBA"/>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44E2"/>
    <w:rsid w:val="00184B0B"/>
    <w:rsid w:val="0018519D"/>
    <w:rsid w:val="00185227"/>
    <w:rsid w:val="0018522A"/>
    <w:rsid w:val="001857CA"/>
    <w:rsid w:val="00185B68"/>
    <w:rsid w:val="00185C7F"/>
    <w:rsid w:val="00185DCC"/>
    <w:rsid w:val="00186273"/>
    <w:rsid w:val="00186288"/>
    <w:rsid w:val="001862DA"/>
    <w:rsid w:val="001865C8"/>
    <w:rsid w:val="00186968"/>
    <w:rsid w:val="00186AA7"/>
    <w:rsid w:val="00186AD5"/>
    <w:rsid w:val="00186F43"/>
    <w:rsid w:val="00186F60"/>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717"/>
    <w:rsid w:val="00194DEB"/>
    <w:rsid w:val="00194F0A"/>
    <w:rsid w:val="00194F82"/>
    <w:rsid w:val="001957DC"/>
    <w:rsid w:val="00195E21"/>
    <w:rsid w:val="00196949"/>
    <w:rsid w:val="00196EEE"/>
    <w:rsid w:val="001975F3"/>
    <w:rsid w:val="0019792B"/>
    <w:rsid w:val="00197AA1"/>
    <w:rsid w:val="001A004C"/>
    <w:rsid w:val="001A01BE"/>
    <w:rsid w:val="001A0328"/>
    <w:rsid w:val="001A0452"/>
    <w:rsid w:val="001A08FF"/>
    <w:rsid w:val="001A0A2C"/>
    <w:rsid w:val="001A0BCF"/>
    <w:rsid w:val="001A0D0B"/>
    <w:rsid w:val="001A0E16"/>
    <w:rsid w:val="001A0E38"/>
    <w:rsid w:val="001A1195"/>
    <w:rsid w:val="001A1654"/>
    <w:rsid w:val="001A1CD6"/>
    <w:rsid w:val="001A1CE6"/>
    <w:rsid w:val="001A23A7"/>
    <w:rsid w:val="001A25C5"/>
    <w:rsid w:val="001A2AE8"/>
    <w:rsid w:val="001A2B8A"/>
    <w:rsid w:val="001A2BFD"/>
    <w:rsid w:val="001A2F08"/>
    <w:rsid w:val="001A346B"/>
    <w:rsid w:val="001A35D3"/>
    <w:rsid w:val="001A3880"/>
    <w:rsid w:val="001A39AE"/>
    <w:rsid w:val="001A492F"/>
    <w:rsid w:val="001A4C4E"/>
    <w:rsid w:val="001A4E12"/>
    <w:rsid w:val="001A526B"/>
    <w:rsid w:val="001A54C2"/>
    <w:rsid w:val="001A5592"/>
    <w:rsid w:val="001A589C"/>
    <w:rsid w:val="001A5EB9"/>
    <w:rsid w:val="001A68EE"/>
    <w:rsid w:val="001A696F"/>
    <w:rsid w:val="001A6E3E"/>
    <w:rsid w:val="001A723C"/>
    <w:rsid w:val="001A7731"/>
    <w:rsid w:val="001A7C55"/>
    <w:rsid w:val="001B000E"/>
    <w:rsid w:val="001B02B9"/>
    <w:rsid w:val="001B06F3"/>
    <w:rsid w:val="001B0A81"/>
    <w:rsid w:val="001B0C11"/>
    <w:rsid w:val="001B316B"/>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AEA"/>
    <w:rsid w:val="001C3B2F"/>
    <w:rsid w:val="001C3B92"/>
    <w:rsid w:val="001C3C4D"/>
    <w:rsid w:val="001C3EAC"/>
    <w:rsid w:val="001C3F34"/>
    <w:rsid w:val="001C4A1E"/>
    <w:rsid w:val="001C4A57"/>
    <w:rsid w:val="001C4B6A"/>
    <w:rsid w:val="001C4C8C"/>
    <w:rsid w:val="001C4E24"/>
    <w:rsid w:val="001C4E42"/>
    <w:rsid w:val="001C54FF"/>
    <w:rsid w:val="001C5E3F"/>
    <w:rsid w:val="001C6521"/>
    <w:rsid w:val="001C69C2"/>
    <w:rsid w:val="001C6B4E"/>
    <w:rsid w:val="001C6BCB"/>
    <w:rsid w:val="001C731A"/>
    <w:rsid w:val="001C7672"/>
    <w:rsid w:val="001C7F2A"/>
    <w:rsid w:val="001D007E"/>
    <w:rsid w:val="001D06DF"/>
    <w:rsid w:val="001D07F0"/>
    <w:rsid w:val="001D0F15"/>
    <w:rsid w:val="001D128A"/>
    <w:rsid w:val="001D1389"/>
    <w:rsid w:val="001D1448"/>
    <w:rsid w:val="001D1A3C"/>
    <w:rsid w:val="001D2436"/>
    <w:rsid w:val="001D27DD"/>
    <w:rsid w:val="001D2985"/>
    <w:rsid w:val="001D299B"/>
    <w:rsid w:val="001D2C22"/>
    <w:rsid w:val="001D2C6A"/>
    <w:rsid w:val="001D2D3D"/>
    <w:rsid w:val="001D32ED"/>
    <w:rsid w:val="001D36FC"/>
    <w:rsid w:val="001D393B"/>
    <w:rsid w:val="001D3B7E"/>
    <w:rsid w:val="001D3F46"/>
    <w:rsid w:val="001D4689"/>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188"/>
    <w:rsid w:val="001E42F9"/>
    <w:rsid w:val="001E444F"/>
    <w:rsid w:val="001E4904"/>
    <w:rsid w:val="001E49C4"/>
    <w:rsid w:val="001E594F"/>
    <w:rsid w:val="001E5BD2"/>
    <w:rsid w:val="001E5E4F"/>
    <w:rsid w:val="001E62AB"/>
    <w:rsid w:val="001E6B42"/>
    <w:rsid w:val="001E6C0B"/>
    <w:rsid w:val="001E6F79"/>
    <w:rsid w:val="001E6FF3"/>
    <w:rsid w:val="001F0284"/>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A8C"/>
    <w:rsid w:val="001F4C4A"/>
    <w:rsid w:val="001F4E06"/>
    <w:rsid w:val="001F4EFF"/>
    <w:rsid w:val="001F62F7"/>
    <w:rsid w:val="001F69CB"/>
    <w:rsid w:val="001F74FB"/>
    <w:rsid w:val="001F7657"/>
    <w:rsid w:val="00200152"/>
    <w:rsid w:val="0020106B"/>
    <w:rsid w:val="00201BE0"/>
    <w:rsid w:val="002026E3"/>
    <w:rsid w:val="00202E5B"/>
    <w:rsid w:val="0020307D"/>
    <w:rsid w:val="00203669"/>
    <w:rsid w:val="0020384B"/>
    <w:rsid w:val="00203BE1"/>
    <w:rsid w:val="00203E23"/>
    <w:rsid w:val="00203E47"/>
    <w:rsid w:val="002049C3"/>
    <w:rsid w:val="00204DB4"/>
    <w:rsid w:val="0020504D"/>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5E6"/>
    <w:rsid w:val="00224908"/>
    <w:rsid w:val="00224CF8"/>
    <w:rsid w:val="00225186"/>
    <w:rsid w:val="00225207"/>
    <w:rsid w:val="00225410"/>
    <w:rsid w:val="0022577E"/>
    <w:rsid w:val="00225E51"/>
    <w:rsid w:val="00225F2C"/>
    <w:rsid w:val="00226291"/>
    <w:rsid w:val="0022681B"/>
    <w:rsid w:val="00226847"/>
    <w:rsid w:val="00226E72"/>
    <w:rsid w:val="002270C1"/>
    <w:rsid w:val="00230354"/>
    <w:rsid w:val="00230403"/>
    <w:rsid w:val="00230586"/>
    <w:rsid w:val="00230A2B"/>
    <w:rsid w:val="00230AFF"/>
    <w:rsid w:val="00230FD3"/>
    <w:rsid w:val="002317B9"/>
    <w:rsid w:val="00231982"/>
    <w:rsid w:val="002319DE"/>
    <w:rsid w:val="00231A01"/>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6B75"/>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336"/>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4AB"/>
    <w:rsid w:val="00256898"/>
    <w:rsid w:val="00256ADD"/>
    <w:rsid w:val="00257343"/>
    <w:rsid w:val="002573D3"/>
    <w:rsid w:val="00257B8E"/>
    <w:rsid w:val="00257C94"/>
    <w:rsid w:val="00257FC6"/>
    <w:rsid w:val="00260063"/>
    <w:rsid w:val="0026012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2D9D"/>
    <w:rsid w:val="00273273"/>
    <w:rsid w:val="00273358"/>
    <w:rsid w:val="00274098"/>
    <w:rsid w:val="002740AE"/>
    <w:rsid w:val="00274269"/>
    <w:rsid w:val="0027431A"/>
    <w:rsid w:val="0027442B"/>
    <w:rsid w:val="00274536"/>
    <w:rsid w:val="002746B1"/>
    <w:rsid w:val="002746CF"/>
    <w:rsid w:val="00274EFB"/>
    <w:rsid w:val="00274F4E"/>
    <w:rsid w:val="0027559F"/>
    <w:rsid w:val="00275EB0"/>
    <w:rsid w:val="00275FE6"/>
    <w:rsid w:val="00276288"/>
    <w:rsid w:val="00276485"/>
    <w:rsid w:val="00276669"/>
    <w:rsid w:val="002767A6"/>
    <w:rsid w:val="0027686E"/>
    <w:rsid w:val="00276D32"/>
    <w:rsid w:val="0027762B"/>
    <w:rsid w:val="00277811"/>
    <w:rsid w:val="00277855"/>
    <w:rsid w:val="00277901"/>
    <w:rsid w:val="002807C7"/>
    <w:rsid w:val="00280A0B"/>
    <w:rsid w:val="00280BD8"/>
    <w:rsid w:val="002815F0"/>
    <w:rsid w:val="0028191D"/>
    <w:rsid w:val="0028226F"/>
    <w:rsid w:val="00282505"/>
    <w:rsid w:val="00282558"/>
    <w:rsid w:val="0028294A"/>
    <w:rsid w:val="002829D8"/>
    <w:rsid w:val="00282DC0"/>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6B24"/>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8B0"/>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6F7"/>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0B5"/>
    <w:rsid w:val="002B6114"/>
    <w:rsid w:val="002B6243"/>
    <w:rsid w:val="002B63F8"/>
    <w:rsid w:val="002B65D0"/>
    <w:rsid w:val="002B6911"/>
    <w:rsid w:val="002B6C30"/>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3025"/>
    <w:rsid w:val="002C35E9"/>
    <w:rsid w:val="002C39AC"/>
    <w:rsid w:val="002C3AB8"/>
    <w:rsid w:val="002C4166"/>
    <w:rsid w:val="002C4639"/>
    <w:rsid w:val="002C4C0B"/>
    <w:rsid w:val="002C508C"/>
    <w:rsid w:val="002C5490"/>
    <w:rsid w:val="002C56C2"/>
    <w:rsid w:val="002C5958"/>
    <w:rsid w:val="002C5B10"/>
    <w:rsid w:val="002C740F"/>
    <w:rsid w:val="002D00C0"/>
    <w:rsid w:val="002D01AB"/>
    <w:rsid w:val="002D0297"/>
    <w:rsid w:val="002D0789"/>
    <w:rsid w:val="002D11D4"/>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4B59"/>
    <w:rsid w:val="002D50F9"/>
    <w:rsid w:val="002D62F9"/>
    <w:rsid w:val="002D632B"/>
    <w:rsid w:val="002D6667"/>
    <w:rsid w:val="002D7B4C"/>
    <w:rsid w:val="002E01ED"/>
    <w:rsid w:val="002E0642"/>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2D1B"/>
    <w:rsid w:val="002F343B"/>
    <w:rsid w:val="002F3794"/>
    <w:rsid w:val="002F3799"/>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2F7C58"/>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215"/>
    <w:rsid w:val="00303823"/>
    <w:rsid w:val="003039AF"/>
    <w:rsid w:val="00303F59"/>
    <w:rsid w:val="00304AB3"/>
    <w:rsid w:val="003050A3"/>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894"/>
    <w:rsid w:val="00316DDA"/>
    <w:rsid w:val="00317BD3"/>
    <w:rsid w:val="00317CA7"/>
    <w:rsid w:val="00320443"/>
    <w:rsid w:val="00320946"/>
    <w:rsid w:val="00320E12"/>
    <w:rsid w:val="00321981"/>
    <w:rsid w:val="00321B38"/>
    <w:rsid w:val="00321BF1"/>
    <w:rsid w:val="00321C7E"/>
    <w:rsid w:val="0032200D"/>
    <w:rsid w:val="00322066"/>
    <w:rsid w:val="0032285E"/>
    <w:rsid w:val="003229F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10"/>
    <w:rsid w:val="00330C74"/>
    <w:rsid w:val="00330CA1"/>
    <w:rsid w:val="00330FAD"/>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87B"/>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BD1"/>
    <w:rsid w:val="00337C96"/>
    <w:rsid w:val="00337DC0"/>
    <w:rsid w:val="00337E5C"/>
    <w:rsid w:val="00337EA0"/>
    <w:rsid w:val="003406DC"/>
    <w:rsid w:val="00341815"/>
    <w:rsid w:val="00341BBB"/>
    <w:rsid w:val="00341DA8"/>
    <w:rsid w:val="0034234E"/>
    <w:rsid w:val="003423A5"/>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5FA"/>
    <w:rsid w:val="00355AD1"/>
    <w:rsid w:val="003562C2"/>
    <w:rsid w:val="003564AF"/>
    <w:rsid w:val="00356D53"/>
    <w:rsid w:val="003570E4"/>
    <w:rsid w:val="003575AE"/>
    <w:rsid w:val="00357F18"/>
    <w:rsid w:val="00357FAE"/>
    <w:rsid w:val="003602CD"/>
    <w:rsid w:val="003609D9"/>
    <w:rsid w:val="00360D50"/>
    <w:rsid w:val="00361533"/>
    <w:rsid w:val="00361A54"/>
    <w:rsid w:val="00361D04"/>
    <w:rsid w:val="00362093"/>
    <w:rsid w:val="003624A3"/>
    <w:rsid w:val="00362619"/>
    <w:rsid w:val="003626E6"/>
    <w:rsid w:val="00362DF3"/>
    <w:rsid w:val="003631A1"/>
    <w:rsid w:val="0036331F"/>
    <w:rsid w:val="00363525"/>
    <w:rsid w:val="00363784"/>
    <w:rsid w:val="00363A22"/>
    <w:rsid w:val="003647BD"/>
    <w:rsid w:val="00364A1B"/>
    <w:rsid w:val="0036516F"/>
    <w:rsid w:val="00365297"/>
    <w:rsid w:val="003652C2"/>
    <w:rsid w:val="00365722"/>
    <w:rsid w:val="00365803"/>
    <w:rsid w:val="003662DF"/>
    <w:rsid w:val="00366A40"/>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B11"/>
    <w:rsid w:val="00384BE2"/>
    <w:rsid w:val="003851A1"/>
    <w:rsid w:val="003852CE"/>
    <w:rsid w:val="00385422"/>
    <w:rsid w:val="00385463"/>
    <w:rsid w:val="0038560D"/>
    <w:rsid w:val="00385CCE"/>
    <w:rsid w:val="00386132"/>
    <w:rsid w:val="00386213"/>
    <w:rsid w:val="003868EC"/>
    <w:rsid w:val="003869C0"/>
    <w:rsid w:val="00386AFD"/>
    <w:rsid w:val="00386D66"/>
    <w:rsid w:val="003870E4"/>
    <w:rsid w:val="00387A2B"/>
    <w:rsid w:val="00387FD2"/>
    <w:rsid w:val="003900CE"/>
    <w:rsid w:val="00390165"/>
    <w:rsid w:val="00390443"/>
    <w:rsid w:val="003904C3"/>
    <w:rsid w:val="00390755"/>
    <w:rsid w:val="0039083F"/>
    <w:rsid w:val="00390E42"/>
    <w:rsid w:val="0039165E"/>
    <w:rsid w:val="003916E0"/>
    <w:rsid w:val="00391B1D"/>
    <w:rsid w:val="00391F0D"/>
    <w:rsid w:val="0039231A"/>
    <w:rsid w:val="00392784"/>
    <w:rsid w:val="00392ABE"/>
    <w:rsid w:val="00392B8C"/>
    <w:rsid w:val="00392BDB"/>
    <w:rsid w:val="00392BF7"/>
    <w:rsid w:val="0039300F"/>
    <w:rsid w:val="00393353"/>
    <w:rsid w:val="003939EE"/>
    <w:rsid w:val="00393A4A"/>
    <w:rsid w:val="00393B49"/>
    <w:rsid w:val="00394601"/>
    <w:rsid w:val="00394836"/>
    <w:rsid w:val="00394D3D"/>
    <w:rsid w:val="003951F4"/>
    <w:rsid w:val="00395273"/>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2FD0"/>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7F7"/>
    <w:rsid w:val="003D28AC"/>
    <w:rsid w:val="003D290D"/>
    <w:rsid w:val="003D29CF"/>
    <w:rsid w:val="003D33AA"/>
    <w:rsid w:val="003D37E6"/>
    <w:rsid w:val="003D3B49"/>
    <w:rsid w:val="003D4088"/>
    <w:rsid w:val="003D410B"/>
    <w:rsid w:val="003D48AA"/>
    <w:rsid w:val="003D5433"/>
    <w:rsid w:val="003D5990"/>
    <w:rsid w:val="003D5A84"/>
    <w:rsid w:val="003D629F"/>
    <w:rsid w:val="003D6376"/>
    <w:rsid w:val="003D637A"/>
    <w:rsid w:val="003D6545"/>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624"/>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48B"/>
    <w:rsid w:val="003E6557"/>
    <w:rsid w:val="003E6E35"/>
    <w:rsid w:val="003E7406"/>
    <w:rsid w:val="003E74DB"/>
    <w:rsid w:val="003E77E1"/>
    <w:rsid w:val="003F0A22"/>
    <w:rsid w:val="003F0B02"/>
    <w:rsid w:val="003F0D10"/>
    <w:rsid w:val="003F0EEC"/>
    <w:rsid w:val="003F10B3"/>
    <w:rsid w:val="003F131E"/>
    <w:rsid w:val="003F17AD"/>
    <w:rsid w:val="003F195F"/>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3F7FF5"/>
    <w:rsid w:val="004007C1"/>
    <w:rsid w:val="0040085A"/>
    <w:rsid w:val="00400B88"/>
    <w:rsid w:val="00400C6C"/>
    <w:rsid w:val="00400E4D"/>
    <w:rsid w:val="00401328"/>
    <w:rsid w:val="00401438"/>
    <w:rsid w:val="00401519"/>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803"/>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4C2"/>
    <w:rsid w:val="00421646"/>
    <w:rsid w:val="00421E3F"/>
    <w:rsid w:val="00421EA4"/>
    <w:rsid w:val="00422199"/>
    <w:rsid w:val="00422844"/>
    <w:rsid w:val="00422EE5"/>
    <w:rsid w:val="004230DF"/>
    <w:rsid w:val="004233D3"/>
    <w:rsid w:val="0042357C"/>
    <w:rsid w:val="00423D7C"/>
    <w:rsid w:val="004246BC"/>
    <w:rsid w:val="0042490D"/>
    <w:rsid w:val="00424D18"/>
    <w:rsid w:val="004250F7"/>
    <w:rsid w:val="00425115"/>
    <w:rsid w:val="00425196"/>
    <w:rsid w:val="0042566B"/>
    <w:rsid w:val="004256B4"/>
    <w:rsid w:val="00425745"/>
    <w:rsid w:val="00425A4F"/>
    <w:rsid w:val="00426138"/>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1F01"/>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38D"/>
    <w:rsid w:val="00445408"/>
    <w:rsid w:val="004454C0"/>
    <w:rsid w:val="00445886"/>
    <w:rsid w:val="00445F64"/>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754D"/>
    <w:rsid w:val="00457F24"/>
    <w:rsid w:val="0046056B"/>
    <w:rsid w:val="00460E80"/>
    <w:rsid w:val="00460F36"/>
    <w:rsid w:val="00461C29"/>
    <w:rsid w:val="00461DC9"/>
    <w:rsid w:val="0046227B"/>
    <w:rsid w:val="0046276D"/>
    <w:rsid w:val="00462775"/>
    <w:rsid w:val="00463094"/>
    <w:rsid w:val="004638F2"/>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93E"/>
    <w:rsid w:val="00470D3A"/>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5F4"/>
    <w:rsid w:val="00481738"/>
    <w:rsid w:val="004817D5"/>
    <w:rsid w:val="0048180B"/>
    <w:rsid w:val="00481D1E"/>
    <w:rsid w:val="004820EC"/>
    <w:rsid w:val="004822BA"/>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E1C"/>
    <w:rsid w:val="00492F63"/>
    <w:rsid w:val="00492F7B"/>
    <w:rsid w:val="00493167"/>
    <w:rsid w:val="00493237"/>
    <w:rsid w:val="00494DF2"/>
    <w:rsid w:val="00495283"/>
    <w:rsid w:val="004954D9"/>
    <w:rsid w:val="004954E5"/>
    <w:rsid w:val="004956ED"/>
    <w:rsid w:val="00495983"/>
    <w:rsid w:val="00495CF6"/>
    <w:rsid w:val="0049663C"/>
    <w:rsid w:val="00496D89"/>
    <w:rsid w:val="0049717F"/>
    <w:rsid w:val="00497304"/>
    <w:rsid w:val="004975B4"/>
    <w:rsid w:val="00497B18"/>
    <w:rsid w:val="00497FEB"/>
    <w:rsid w:val="004A0295"/>
    <w:rsid w:val="004A0982"/>
    <w:rsid w:val="004A0E59"/>
    <w:rsid w:val="004A1273"/>
    <w:rsid w:val="004A154F"/>
    <w:rsid w:val="004A167D"/>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506"/>
    <w:rsid w:val="004A6719"/>
    <w:rsid w:val="004A6D0B"/>
    <w:rsid w:val="004A7A36"/>
    <w:rsid w:val="004A7B0B"/>
    <w:rsid w:val="004A7C46"/>
    <w:rsid w:val="004A7E67"/>
    <w:rsid w:val="004B0053"/>
    <w:rsid w:val="004B019C"/>
    <w:rsid w:val="004B01C1"/>
    <w:rsid w:val="004B09EC"/>
    <w:rsid w:val="004B0AAD"/>
    <w:rsid w:val="004B20A1"/>
    <w:rsid w:val="004B2787"/>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32C"/>
    <w:rsid w:val="004C05D5"/>
    <w:rsid w:val="004C07CE"/>
    <w:rsid w:val="004C0EA7"/>
    <w:rsid w:val="004C1433"/>
    <w:rsid w:val="004C15F8"/>
    <w:rsid w:val="004C1678"/>
    <w:rsid w:val="004C1978"/>
    <w:rsid w:val="004C23BC"/>
    <w:rsid w:val="004C23F4"/>
    <w:rsid w:val="004C359D"/>
    <w:rsid w:val="004C3803"/>
    <w:rsid w:val="004C3D75"/>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80F"/>
    <w:rsid w:val="004E6BAE"/>
    <w:rsid w:val="004E751E"/>
    <w:rsid w:val="004E7846"/>
    <w:rsid w:val="004E7E2C"/>
    <w:rsid w:val="004F090B"/>
    <w:rsid w:val="004F0B99"/>
    <w:rsid w:val="004F0EEB"/>
    <w:rsid w:val="004F1388"/>
    <w:rsid w:val="004F1534"/>
    <w:rsid w:val="004F1713"/>
    <w:rsid w:val="004F2C03"/>
    <w:rsid w:val="004F2E06"/>
    <w:rsid w:val="004F332D"/>
    <w:rsid w:val="004F342A"/>
    <w:rsid w:val="004F378F"/>
    <w:rsid w:val="004F3DE3"/>
    <w:rsid w:val="004F4EB5"/>
    <w:rsid w:val="004F5302"/>
    <w:rsid w:val="004F58DF"/>
    <w:rsid w:val="004F5900"/>
    <w:rsid w:val="004F5D89"/>
    <w:rsid w:val="004F5DE7"/>
    <w:rsid w:val="004F658F"/>
    <w:rsid w:val="004F6D20"/>
    <w:rsid w:val="004F7191"/>
    <w:rsid w:val="004F7706"/>
    <w:rsid w:val="004F7875"/>
    <w:rsid w:val="004F78C5"/>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0E6"/>
    <w:rsid w:val="00531198"/>
    <w:rsid w:val="00531220"/>
    <w:rsid w:val="0053132D"/>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42F9"/>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49D"/>
    <w:rsid w:val="00552F27"/>
    <w:rsid w:val="00553573"/>
    <w:rsid w:val="005535F1"/>
    <w:rsid w:val="0055367F"/>
    <w:rsid w:val="005537F1"/>
    <w:rsid w:val="00553AC1"/>
    <w:rsid w:val="00553B14"/>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2EB"/>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3F1F"/>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66AE"/>
    <w:rsid w:val="0058751B"/>
    <w:rsid w:val="0058780F"/>
    <w:rsid w:val="00587BC0"/>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02A"/>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2476"/>
    <w:rsid w:val="005A3309"/>
    <w:rsid w:val="005A3C0E"/>
    <w:rsid w:val="005A3F14"/>
    <w:rsid w:val="005A403B"/>
    <w:rsid w:val="005A4398"/>
    <w:rsid w:val="005A4774"/>
    <w:rsid w:val="005A47A2"/>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1E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B5F"/>
    <w:rsid w:val="005C4E97"/>
    <w:rsid w:val="005C52F7"/>
    <w:rsid w:val="005C562D"/>
    <w:rsid w:val="005C5902"/>
    <w:rsid w:val="005C5DEF"/>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2EBA"/>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DF8"/>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44E2"/>
    <w:rsid w:val="005F49CD"/>
    <w:rsid w:val="005F52C1"/>
    <w:rsid w:val="005F57C2"/>
    <w:rsid w:val="005F58E6"/>
    <w:rsid w:val="005F593D"/>
    <w:rsid w:val="005F5A46"/>
    <w:rsid w:val="005F5B65"/>
    <w:rsid w:val="005F61EE"/>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40B2"/>
    <w:rsid w:val="0061456F"/>
    <w:rsid w:val="006145D3"/>
    <w:rsid w:val="00614924"/>
    <w:rsid w:val="00614D15"/>
    <w:rsid w:val="00614DF7"/>
    <w:rsid w:val="00614E47"/>
    <w:rsid w:val="00614F32"/>
    <w:rsid w:val="006155AA"/>
    <w:rsid w:val="006156D5"/>
    <w:rsid w:val="00615962"/>
    <w:rsid w:val="00615A85"/>
    <w:rsid w:val="00615CCC"/>
    <w:rsid w:val="00615D83"/>
    <w:rsid w:val="0061607B"/>
    <w:rsid w:val="00616383"/>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013E"/>
    <w:rsid w:val="006304DF"/>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A4C"/>
    <w:rsid w:val="00637C07"/>
    <w:rsid w:val="00637F63"/>
    <w:rsid w:val="00637FBF"/>
    <w:rsid w:val="006400AC"/>
    <w:rsid w:val="006401B4"/>
    <w:rsid w:val="006401B7"/>
    <w:rsid w:val="006408A4"/>
    <w:rsid w:val="006415DC"/>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1E8"/>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27"/>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0F8B"/>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4F79"/>
    <w:rsid w:val="00675615"/>
    <w:rsid w:val="00675BF1"/>
    <w:rsid w:val="00675F72"/>
    <w:rsid w:val="006765B4"/>
    <w:rsid w:val="006768EA"/>
    <w:rsid w:val="00676E80"/>
    <w:rsid w:val="00676F2E"/>
    <w:rsid w:val="00677265"/>
    <w:rsid w:val="006777F7"/>
    <w:rsid w:val="00677985"/>
    <w:rsid w:val="00677AD8"/>
    <w:rsid w:val="00677D7A"/>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871"/>
    <w:rsid w:val="00686DE8"/>
    <w:rsid w:val="0068723C"/>
    <w:rsid w:val="00687376"/>
    <w:rsid w:val="006874C7"/>
    <w:rsid w:val="00687A17"/>
    <w:rsid w:val="00687A64"/>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1B"/>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01"/>
    <w:rsid w:val="006A1CC0"/>
    <w:rsid w:val="006A2A34"/>
    <w:rsid w:val="006A2B82"/>
    <w:rsid w:val="006A30EE"/>
    <w:rsid w:val="006A328B"/>
    <w:rsid w:val="006A350B"/>
    <w:rsid w:val="006A35AC"/>
    <w:rsid w:val="006A3C32"/>
    <w:rsid w:val="006A3E64"/>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1F8D"/>
    <w:rsid w:val="006B2169"/>
    <w:rsid w:val="006B2328"/>
    <w:rsid w:val="006B2A4B"/>
    <w:rsid w:val="006B2B53"/>
    <w:rsid w:val="006B2D92"/>
    <w:rsid w:val="006B3443"/>
    <w:rsid w:val="006B3704"/>
    <w:rsid w:val="006B3B0C"/>
    <w:rsid w:val="006B3B67"/>
    <w:rsid w:val="006B3E7D"/>
    <w:rsid w:val="006B45A4"/>
    <w:rsid w:val="006B47B5"/>
    <w:rsid w:val="006B4966"/>
    <w:rsid w:val="006B49E0"/>
    <w:rsid w:val="006B5059"/>
    <w:rsid w:val="006B5373"/>
    <w:rsid w:val="006B54DE"/>
    <w:rsid w:val="006B5659"/>
    <w:rsid w:val="006B5A3A"/>
    <w:rsid w:val="006B5D73"/>
    <w:rsid w:val="006B5F7B"/>
    <w:rsid w:val="006B60B7"/>
    <w:rsid w:val="006B6637"/>
    <w:rsid w:val="006B7650"/>
    <w:rsid w:val="006B76EA"/>
    <w:rsid w:val="006B796F"/>
    <w:rsid w:val="006B7FD5"/>
    <w:rsid w:val="006C0412"/>
    <w:rsid w:val="006C074C"/>
    <w:rsid w:val="006C09EE"/>
    <w:rsid w:val="006C09FD"/>
    <w:rsid w:val="006C0A59"/>
    <w:rsid w:val="006C1209"/>
    <w:rsid w:val="006C12F8"/>
    <w:rsid w:val="006C139F"/>
    <w:rsid w:val="006C183E"/>
    <w:rsid w:val="006C18A0"/>
    <w:rsid w:val="006C2106"/>
    <w:rsid w:val="006C23B9"/>
    <w:rsid w:val="006C263F"/>
    <w:rsid w:val="006C283B"/>
    <w:rsid w:val="006C2B53"/>
    <w:rsid w:val="006C3447"/>
    <w:rsid w:val="006C361C"/>
    <w:rsid w:val="006C3968"/>
    <w:rsid w:val="006C4033"/>
    <w:rsid w:val="006C46AA"/>
    <w:rsid w:val="006C4859"/>
    <w:rsid w:val="006C4ADC"/>
    <w:rsid w:val="006C52FF"/>
    <w:rsid w:val="006C5A01"/>
    <w:rsid w:val="006C643D"/>
    <w:rsid w:val="006C66F3"/>
    <w:rsid w:val="006C6865"/>
    <w:rsid w:val="006C6903"/>
    <w:rsid w:val="006C6D3B"/>
    <w:rsid w:val="006C7177"/>
    <w:rsid w:val="006C7434"/>
    <w:rsid w:val="006C745B"/>
    <w:rsid w:val="006C7DBD"/>
    <w:rsid w:val="006D018A"/>
    <w:rsid w:val="006D07D7"/>
    <w:rsid w:val="006D08CB"/>
    <w:rsid w:val="006D1733"/>
    <w:rsid w:val="006D1B60"/>
    <w:rsid w:val="006D1CDC"/>
    <w:rsid w:val="006D1F41"/>
    <w:rsid w:val="006D2383"/>
    <w:rsid w:val="006D2549"/>
    <w:rsid w:val="006D25E4"/>
    <w:rsid w:val="006D277D"/>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9AB"/>
    <w:rsid w:val="006E2270"/>
    <w:rsid w:val="006E263B"/>
    <w:rsid w:val="006E285C"/>
    <w:rsid w:val="006E2BF4"/>
    <w:rsid w:val="006E2C4F"/>
    <w:rsid w:val="006E3070"/>
    <w:rsid w:val="006E3132"/>
    <w:rsid w:val="006E38AB"/>
    <w:rsid w:val="006E3954"/>
    <w:rsid w:val="006E3B9D"/>
    <w:rsid w:val="006E4120"/>
    <w:rsid w:val="006E4622"/>
    <w:rsid w:val="006E5149"/>
    <w:rsid w:val="006E5BCB"/>
    <w:rsid w:val="006E5D69"/>
    <w:rsid w:val="006E5E79"/>
    <w:rsid w:val="006E5F94"/>
    <w:rsid w:val="006E63A7"/>
    <w:rsid w:val="006E69AA"/>
    <w:rsid w:val="006E6A6B"/>
    <w:rsid w:val="006E6C2C"/>
    <w:rsid w:val="006E6E10"/>
    <w:rsid w:val="006E6F66"/>
    <w:rsid w:val="006E72BC"/>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3DB"/>
    <w:rsid w:val="006F5717"/>
    <w:rsid w:val="006F58CE"/>
    <w:rsid w:val="006F5932"/>
    <w:rsid w:val="006F62CD"/>
    <w:rsid w:val="006F63B3"/>
    <w:rsid w:val="006F67ED"/>
    <w:rsid w:val="006F6A0F"/>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FAE"/>
    <w:rsid w:val="00703220"/>
    <w:rsid w:val="00703483"/>
    <w:rsid w:val="00703D91"/>
    <w:rsid w:val="00703FAF"/>
    <w:rsid w:val="007041F0"/>
    <w:rsid w:val="007043E8"/>
    <w:rsid w:val="007043F9"/>
    <w:rsid w:val="0070526B"/>
    <w:rsid w:val="00705445"/>
    <w:rsid w:val="007066C3"/>
    <w:rsid w:val="0070676C"/>
    <w:rsid w:val="0070700D"/>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239"/>
    <w:rsid w:val="007129AD"/>
    <w:rsid w:val="00712DD0"/>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75"/>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0A6"/>
    <w:rsid w:val="00746181"/>
    <w:rsid w:val="00747A8F"/>
    <w:rsid w:val="00747D09"/>
    <w:rsid w:val="00747DD7"/>
    <w:rsid w:val="00747FBE"/>
    <w:rsid w:val="00750297"/>
    <w:rsid w:val="0075145C"/>
    <w:rsid w:val="007514B4"/>
    <w:rsid w:val="007521C4"/>
    <w:rsid w:val="00752448"/>
    <w:rsid w:val="0075252F"/>
    <w:rsid w:val="00752B3F"/>
    <w:rsid w:val="00752E70"/>
    <w:rsid w:val="00752EBA"/>
    <w:rsid w:val="00753320"/>
    <w:rsid w:val="00753593"/>
    <w:rsid w:val="007535EB"/>
    <w:rsid w:val="00753990"/>
    <w:rsid w:val="00753BC1"/>
    <w:rsid w:val="00753E79"/>
    <w:rsid w:val="0075520F"/>
    <w:rsid w:val="00755381"/>
    <w:rsid w:val="007557D6"/>
    <w:rsid w:val="00755864"/>
    <w:rsid w:val="007562B5"/>
    <w:rsid w:val="007562CB"/>
    <w:rsid w:val="0075681F"/>
    <w:rsid w:val="00756C59"/>
    <w:rsid w:val="007571B1"/>
    <w:rsid w:val="0075766A"/>
    <w:rsid w:val="007577CB"/>
    <w:rsid w:val="0075790C"/>
    <w:rsid w:val="00757A16"/>
    <w:rsid w:val="00757D4C"/>
    <w:rsid w:val="00757FCD"/>
    <w:rsid w:val="007604AE"/>
    <w:rsid w:val="00760975"/>
    <w:rsid w:val="007609FC"/>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31F"/>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382D"/>
    <w:rsid w:val="007844F7"/>
    <w:rsid w:val="00784743"/>
    <w:rsid w:val="0078491E"/>
    <w:rsid w:val="00784AA8"/>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192"/>
    <w:rsid w:val="0079631E"/>
    <w:rsid w:val="007966F5"/>
    <w:rsid w:val="00796763"/>
    <w:rsid w:val="00796CF8"/>
    <w:rsid w:val="00796E92"/>
    <w:rsid w:val="00797172"/>
    <w:rsid w:val="00797639"/>
    <w:rsid w:val="00797724"/>
    <w:rsid w:val="007977AC"/>
    <w:rsid w:val="007A01E4"/>
    <w:rsid w:val="007A038B"/>
    <w:rsid w:val="007A0D06"/>
    <w:rsid w:val="007A2288"/>
    <w:rsid w:val="007A2895"/>
    <w:rsid w:val="007A2CCA"/>
    <w:rsid w:val="007A2D89"/>
    <w:rsid w:val="007A3750"/>
    <w:rsid w:val="007A3755"/>
    <w:rsid w:val="007A3DE1"/>
    <w:rsid w:val="007A4064"/>
    <w:rsid w:val="007A46F5"/>
    <w:rsid w:val="007A4994"/>
    <w:rsid w:val="007A4D62"/>
    <w:rsid w:val="007A4DCF"/>
    <w:rsid w:val="007A4E6E"/>
    <w:rsid w:val="007A4F12"/>
    <w:rsid w:val="007A50B1"/>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481"/>
    <w:rsid w:val="007B172B"/>
    <w:rsid w:val="007B2031"/>
    <w:rsid w:val="007B22D2"/>
    <w:rsid w:val="007B2451"/>
    <w:rsid w:val="007B2620"/>
    <w:rsid w:val="007B2693"/>
    <w:rsid w:val="007B2802"/>
    <w:rsid w:val="007B2F9E"/>
    <w:rsid w:val="007B41B5"/>
    <w:rsid w:val="007B426F"/>
    <w:rsid w:val="007B4470"/>
    <w:rsid w:val="007B47AC"/>
    <w:rsid w:val="007B4D91"/>
    <w:rsid w:val="007B5273"/>
    <w:rsid w:val="007B5285"/>
    <w:rsid w:val="007B58E3"/>
    <w:rsid w:val="007B621B"/>
    <w:rsid w:val="007B67B1"/>
    <w:rsid w:val="007B6FD6"/>
    <w:rsid w:val="007B71C2"/>
    <w:rsid w:val="007B7494"/>
    <w:rsid w:val="007C0237"/>
    <w:rsid w:val="007C02A0"/>
    <w:rsid w:val="007C0799"/>
    <w:rsid w:val="007C0D7F"/>
    <w:rsid w:val="007C0DEE"/>
    <w:rsid w:val="007C1075"/>
    <w:rsid w:val="007C1282"/>
    <w:rsid w:val="007C1AAA"/>
    <w:rsid w:val="007C1BCF"/>
    <w:rsid w:val="007C1FD5"/>
    <w:rsid w:val="007C2033"/>
    <w:rsid w:val="007C224E"/>
    <w:rsid w:val="007C42E5"/>
    <w:rsid w:val="007C43C6"/>
    <w:rsid w:val="007C454B"/>
    <w:rsid w:val="007C46D1"/>
    <w:rsid w:val="007C51FB"/>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4F5"/>
    <w:rsid w:val="007D46EE"/>
    <w:rsid w:val="007D4AF8"/>
    <w:rsid w:val="007D507F"/>
    <w:rsid w:val="007D51E7"/>
    <w:rsid w:val="007D5207"/>
    <w:rsid w:val="007D5AEF"/>
    <w:rsid w:val="007D5D99"/>
    <w:rsid w:val="007D6153"/>
    <w:rsid w:val="007D6E67"/>
    <w:rsid w:val="007D791B"/>
    <w:rsid w:val="007D7CE5"/>
    <w:rsid w:val="007D7CE7"/>
    <w:rsid w:val="007D7D39"/>
    <w:rsid w:val="007E0083"/>
    <w:rsid w:val="007E0513"/>
    <w:rsid w:val="007E0638"/>
    <w:rsid w:val="007E077D"/>
    <w:rsid w:val="007E08C8"/>
    <w:rsid w:val="007E0D03"/>
    <w:rsid w:val="007E1288"/>
    <w:rsid w:val="007E1D6A"/>
    <w:rsid w:val="007E20CC"/>
    <w:rsid w:val="007E24B3"/>
    <w:rsid w:val="007E2660"/>
    <w:rsid w:val="007E28CF"/>
    <w:rsid w:val="007E294A"/>
    <w:rsid w:val="007E2A06"/>
    <w:rsid w:val="007E2FA4"/>
    <w:rsid w:val="007E30AD"/>
    <w:rsid w:val="007E30E3"/>
    <w:rsid w:val="007E3249"/>
    <w:rsid w:val="007E3562"/>
    <w:rsid w:val="007E3583"/>
    <w:rsid w:val="007E3733"/>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324"/>
    <w:rsid w:val="00803586"/>
    <w:rsid w:val="00803889"/>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7"/>
    <w:rsid w:val="00816C5E"/>
    <w:rsid w:val="00816DBB"/>
    <w:rsid w:val="00816FB8"/>
    <w:rsid w:val="008170C5"/>
    <w:rsid w:val="00817546"/>
    <w:rsid w:val="00820004"/>
    <w:rsid w:val="00820422"/>
    <w:rsid w:val="008206F7"/>
    <w:rsid w:val="0082076E"/>
    <w:rsid w:val="008207B0"/>
    <w:rsid w:val="00820C74"/>
    <w:rsid w:val="00821665"/>
    <w:rsid w:val="00821C5F"/>
    <w:rsid w:val="00821DED"/>
    <w:rsid w:val="00821FA9"/>
    <w:rsid w:val="008222CA"/>
    <w:rsid w:val="00822383"/>
    <w:rsid w:val="0082259B"/>
    <w:rsid w:val="00822E06"/>
    <w:rsid w:val="008230EF"/>
    <w:rsid w:val="008232BF"/>
    <w:rsid w:val="008232FE"/>
    <w:rsid w:val="0082396C"/>
    <w:rsid w:val="00823A9D"/>
    <w:rsid w:val="00823E50"/>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A3E"/>
    <w:rsid w:val="00841DBE"/>
    <w:rsid w:val="00841DEA"/>
    <w:rsid w:val="00841F6C"/>
    <w:rsid w:val="00841FA6"/>
    <w:rsid w:val="00842054"/>
    <w:rsid w:val="0084424D"/>
    <w:rsid w:val="00844311"/>
    <w:rsid w:val="00844BEF"/>
    <w:rsid w:val="00844DB8"/>
    <w:rsid w:val="00844E7D"/>
    <w:rsid w:val="00845B64"/>
    <w:rsid w:val="00846071"/>
    <w:rsid w:val="00846558"/>
    <w:rsid w:val="0084659A"/>
    <w:rsid w:val="00846A35"/>
    <w:rsid w:val="00846F23"/>
    <w:rsid w:val="00847415"/>
    <w:rsid w:val="0084741E"/>
    <w:rsid w:val="00847789"/>
    <w:rsid w:val="008477CE"/>
    <w:rsid w:val="00850430"/>
    <w:rsid w:val="008505D8"/>
    <w:rsid w:val="0085068B"/>
    <w:rsid w:val="008507BA"/>
    <w:rsid w:val="008508B0"/>
    <w:rsid w:val="0085099A"/>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783"/>
    <w:rsid w:val="00863982"/>
    <w:rsid w:val="00863F06"/>
    <w:rsid w:val="00866B3C"/>
    <w:rsid w:val="008675DF"/>
    <w:rsid w:val="00867B14"/>
    <w:rsid w:val="00867B80"/>
    <w:rsid w:val="00867D3C"/>
    <w:rsid w:val="00867D8D"/>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1FA"/>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E07"/>
    <w:rsid w:val="00882F34"/>
    <w:rsid w:val="00883198"/>
    <w:rsid w:val="0088381F"/>
    <w:rsid w:val="00883A57"/>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4C"/>
    <w:rsid w:val="0088635F"/>
    <w:rsid w:val="0088661D"/>
    <w:rsid w:val="0088670D"/>
    <w:rsid w:val="00886734"/>
    <w:rsid w:val="00886E91"/>
    <w:rsid w:val="00886FED"/>
    <w:rsid w:val="0088701D"/>
    <w:rsid w:val="00887266"/>
    <w:rsid w:val="00887912"/>
    <w:rsid w:val="008901E4"/>
    <w:rsid w:val="0089026D"/>
    <w:rsid w:val="00891340"/>
    <w:rsid w:val="00891575"/>
    <w:rsid w:val="00891694"/>
    <w:rsid w:val="00891DAC"/>
    <w:rsid w:val="00891FDB"/>
    <w:rsid w:val="008922E6"/>
    <w:rsid w:val="0089273C"/>
    <w:rsid w:val="008927A8"/>
    <w:rsid w:val="00892B51"/>
    <w:rsid w:val="00892C7E"/>
    <w:rsid w:val="00892EAA"/>
    <w:rsid w:val="00893065"/>
    <w:rsid w:val="008937D6"/>
    <w:rsid w:val="0089385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657"/>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1EBA"/>
    <w:rsid w:val="008B254C"/>
    <w:rsid w:val="008B2899"/>
    <w:rsid w:val="008B2934"/>
    <w:rsid w:val="008B2D79"/>
    <w:rsid w:val="008B300D"/>
    <w:rsid w:val="008B318C"/>
    <w:rsid w:val="008B3AEA"/>
    <w:rsid w:val="008B3B86"/>
    <w:rsid w:val="008B48D9"/>
    <w:rsid w:val="008B4AE1"/>
    <w:rsid w:val="008B52ED"/>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70C"/>
    <w:rsid w:val="008D3D0A"/>
    <w:rsid w:val="008D3EEC"/>
    <w:rsid w:val="008D3F66"/>
    <w:rsid w:val="008D4239"/>
    <w:rsid w:val="008D478D"/>
    <w:rsid w:val="008D4A5D"/>
    <w:rsid w:val="008D51C1"/>
    <w:rsid w:val="008D5D9B"/>
    <w:rsid w:val="008D6030"/>
    <w:rsid w:val="008D6797"/>
    <w:rsid w:val="008D7BB3"/>
    <w:rsid w:val="008E015A"/>
    <w:rsid w:val="008E03C1"/>
    <w:rsid w:val="008E0834"/>
    <w:rsid w:val="008E0865"/>
    <w:rsid w:val="008E0874"/>
    <w:rsid w:val="008E098A"/>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F35"/>
    <w:rsid w:val="008F0F55"/>
    <w:rsid w:val="008F1867"/>
    <w:rsid w:val="008F1D26"/>
    <w:rsid w:val="008F1ECF"/>
    <w:rsid w:val="008F22D3"/>
    <w:rsid w:val="008F2906"/>
    <w:rsid w:val="008F2DFC"/>
    <w:rsid w:val="008F2FD6"/>
    <w:rsid w:val="008F305C"/>
    <w:rsid w:val="008F38D7"/>
    <w:rsid w:val="008F411A"/>
    <w:rsid w:val="008F4709"/>
    <w:rsid w:val="008F5140"/>
    <w:rsid w:val="008F540C"/>
    <w:rsid w:val="008F56C2"/>
    <w:rsid w:val="008F58AD"/>
    <w:rsid w:val="008F5AB2"/>
    <w:rsid w:val="008F5C62"/>
    <w:rsid w:val="008F5CAB"/>
    <w:rsid w:val="008F5DF7"/>
    <w:rsid w:val="008F5F72"/>
    <w:rsid w:val="008F6005"/>
    <w:rsid w:val="008F6F72"/>
    <w:rsid w:val="008F71C9"/>
    <w:rsid w:val="008F72CA"/>
    <w:rsid w:val="008F7890"/>
    <w:rsid w:val="008F7FE0"/>
    <w:rsid w:val="00900141"/>
    <w:rsid w:val="00900156"/>
    <w:rsid w:val="0090017E"/>
    <w:rsid w:val="0090181D"/>
    <w:rsid w:val="00901EF3"/>
    <w:rsid w:val="0090230E"/>
    <w:rsid w:val="009028BA"/>
    <w:rsid w:val="00902DB7"/>
    <w:rsid w:val="00902F71"/>
    <w:rsid w:val="00903399"/>
    <w:rsid w:val="0090356B"/>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91"/>
    <w:rsid w:val="009125C7"/>
    <w:rsid w:val="009125CF"/>
    <w:rsid w:val="00912A81"/>
    <w:rsid w:val="00912EFF"/>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1B3"/>
    <w:rsid w:val="00923E8B"/>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0F31"/>
    <w:rsid w:val="00931428"/>
    <w:rsid w:val="00931C3D"/>
    <w:rsid w:val="009321DF"/>
    <w:rsid w:val="009323DB"/>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6AE"/>
    <w:rsid w:val="00941CBE"/>
    <w:rsid w:val="00941EE0"/>
    <w:rsid w:val="009422F2"/>
    <w:rsid w:val="00942343"/>
    <w:rsid w:val="00942367"/>
    <w:rsid w:val="00942E35"/>
    <w:rsid w:val="00942E86"/>
    <w:rsid w:val="00943180"/>
    <w:rsid w:val="0094339A"/>
    <w:rsid w:val="00943B32"/>
    <w:rsid w:val="00943D07"/>
    <w:rsid w:val="009440C0"/>
    <w:rsid w:val="0094438A"/>
    <w:rsid w:val="00944526"/>
    <w:rsid w:val="009449BB"/>
    <w:rsid w:val="00944A83"/>
    <w:rsid w:val="009451AC"/>
    <w:rsid w:val="009456DD"/>
    <w:rsid w:val="00945D68"/>
    <w:rsid w:val="00945F2D"/>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028"/>
    <w:rsid w:val="009615CF"/>
    <w:rsid w:val="0096168D"/>
    <w:rsid w:val="00961DFB"/>
    <w:rsid w:val="009622AF"/>
    <w:rsid w:val="009623FC"/>
    <w:rsid w:val="00962559"/>
    <w:rsid w:val="009630B6"/>
    <w:rsid w:val="00963797"/>
    <w:rsid w:val="00963CB7"/>
    <w:rsid w:val="00963CDA"/>
    <w:rsid w:val="0096431D"/>
    <w:rsid w:val="0096450E"/>
    <w:rsid w:val="00964931"/>
    <w:rsid w:val="009659BF"/>
    <w:rsid w:val="00965B11"/>
    <w:rsid w:val="00965B77"/>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055B"/>
    <w:rsid w:val="0098132F"/>
    <w:rsid w:val="00981377"/>
    <w:rsid w:val="00981805"/>
    <w:rsid w:val="00981A44"/>
    <w:rsid w:val="00981AD1"/>
    <w:rsid w:val="009823A4"/>
    <w:rsid w:val="00982843"/>
    <w:rsid w:val="00982CFD"/>
    <w:rsid w:val="00982D0B"/>
    <w:rsid w:val="009831BF"/>
    <w:rsid w:val="00983262"/>
    <w:rsid w:val="00983651"/>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87"/>
    <w:rsid w:val="009911D2"/>
    <w:rsid w:val="00991499"/>
    <w:rsid w:val="00991853"/>
    <w:rsid w:val="009919A4"/>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085D"/>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A83"/>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2B0"/>
    <w:rsid w:val="009B4615"/>
    <w:rsid w:val="009B4AD9"/>
    <w:rsid w:val="009B4D63"/>
    <w:rsid w:val="009B4EDB"/>
    <w:rsid w:val="009B54D4"/>
    <w:rsid w:val="009B59CE"/>
    <w:rsid w:val="009B5BDC"/>
    <w:rsid w:val="009B5C93"/>
    <w:rsid w:val="009B64C4"/>
    <w:rsid w:val="009B67CE"/>
    <w:rsid w:val="009B68CD"/>
    <w:rsid w:val="009B6CA3"/>
    <w:rsid w:val="009B71CE"/>
    <w:rsid w:val="009B7361"/>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1D6"/>
    <w:rsid w:val="009D42F4"/>
    <w:rsid w:val="009D4531"/>
    <w:rsid w:val="009D4629"/>
    <w:rsid w:val="009D483F"/>
    <w:rsid w:val="009D49E7"/>
    <w:rsid w:val="009D4F88"/>
    <w:rsid w:val="009D51D3"/>
    <w:rsid w:val="009D54C1"/>
    <w:rsid w:val="009D54DD"/>
    <w:rsid w:val="009D5A79"/>
    <w:rsid w:val="009D5B10"/>
    <w:rsid w:val="009D5BAD"/>
    <w:rsid w:val="009D66B0"/>
    <w:rsid w:val="009D672F"/>
    <w:rsid w:val="009D67CC"/>
    <w:rsid w:val="009D6F2D"/>
    <w:rsid w:val="009D7141"/>
    <w:rsid w:val="009D7191"/>
    <w:rsid w:val="009D76A1"/>
    <w:rsid w:val="009D791D"/>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4DED"/>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9F7E53"/>
    <w:rsid w:val="00A007F2"/>
    <w:rsid w:val="00A00E31"/>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257"/>
    <w:rsid w:val="00A11591"/>
    <w:rsid w:val="00A1207B"/>
    <w:rsid w:val="00A12187"/>
    <w:rsid w:val="00A1221C"/>
    <w:rsid w:val="00A12347"/>
    <w:rsid w:val="00A12395"/>
    <w:rsid w:val="00A12E95"/>
    <w:rsid w:val="00A13463"/>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78"/>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306E"/>
    <w:rsid w:val="00A243B6"/>
    <w:rsid w:val="00A24498"/>
    <w:rsid w:val="00A246FF"/>
    <w:rsid w:val="00A24761"/>
    <w:rsid w:val="00A24779"/>
    <w:rsid w:val="00A252CB"/>
    <w:rsid w:val="00A2534B"/>
    <w:rsid w:val="00A255C7"/>
    <w:rsid w:val="00A26094"/>
    <w:rsid w:val="00A26724"/>
    <w:rsid w:val="00A26B01"/>
    <w:rsid w:val="00A2721C"/>
    <w:rsid w:val="00A27247"/>
    <w:rsid w:val="00A27812"/>
    <w:rsid w:val="00A27972"/>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4B5"/>
    <w:rsid w:val="00A66505"/>
    <w:rsid w:val="00A66734"/>
    <w:rsid w:val="00A66C54"/>
    <w:rsid w:val="00A6768D"/>
    <w:rsid w:val="00A678D2"/>
    <w:rsid w:val="00A679D6"/>
    <w:rsid w:val="00A67ABD"/>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32B"/>
    <w:rsid w:val="00A915B9"/>
    <w:rsid w:val="00A91852"/>
    <w:rsid w:val="00A919A7"/>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5AC"/>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1F"/>
    <w:rsid w:val="00AA26AB"/>
    <w:rsid w:val="00AA277C"/>
    <w:rsid w:val="00AA2956"/>
    <w:rsid w:val="00AA29A2"/>
    <w:rsid w:val="00AA2CB6"/>
    <w:rsid w:val="00AA2DE6"/>
    <w:rsid w:val="00AA30D8"/>
    <w:rsid w:val="00AA33A5"/>
    <w:rsid w:val="00AA36FD"/>
    <w:rsid w:val="00AA3A9C"/>
    <w:rsid w:val="00AA3A9F"/>
    <w:rsid w:val="00AA3D21"/>
    <w:rsid w:val="00AA4E8B"/>
    <w:rsid w:val="00AA5375"/>
    <w:rsid w:val="00AA55CA"/>
    <w:rsid w:val="00AA7363"/>
    <w:rsid w:val="00AA784A"/>
    <w:rsid w:val="00AA7D77"/>
    <w:rsid w:val="00AA7D8A"/>
    <w:rsid w:val="00AA7FE1"/>
    <w:rsid w:val="00AB00C5"/>
    <w:rsid w:val="00AB0271"/>
    <w:rsid w:val="00AB0346"/>
    <w:rsid w:val="00AB0668"/>
    <w:rsid w:val="00AB06A0"/>
    <w:rsid w:val="00AB0B86"/>
    <w:rsid w:val="00AB0CCE"/>
    <w:rsid w:val="00AB0E8D"/>
    <w:rsid w:val="00AB108B"/>
    <w:rsid w:val="00AB138D"/>
    <w:rsid w:val="00AB1496"/>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1DB"/>
    <w:rsid w:val="00AB6388"/>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7A0"/>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15C"/>
    <w:rsid w:val="00AE7305"/>
    <w:rsid w:val="00AE74CA"/>
    <w:rsid w:val="00AE7601"/>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1FFA"/>
    <w:rsid w:val="00B021D4"/>
    <w:rsid w:val="00B025C3"/>
    <w:rsid w:val="00B02642"/>
    <w:rsid w:val="00B02CBD"/>
    <w:rsid w:val="00B02F11"/>
    <w:rsid w:val="00B0364F"/>
    <w:rsid w:val="00B03973"/>
    <w:rsid w:val="00B04393"/>
    <w:rsid w:val="00B04416"/>
    <w:rsid w:val="00B058A4"/>
    <w:rsid w:val="00B060E9"/>
    <w:rsid w:val="00B0614A"/>
    <w:rsid w:val="00B061D9"/>
    <w:rsid w:val="00B065E7"/>
    <w:rsid w:val="00B06602"/>
    <w:rsid w:val="00B066AC"/>
    <w:rsid w:val="00B066FF"/>
    <w:rsid w:val="00B069D7"/>
    <w:rsid w:val="00B06D34"/>
    <w:rsid w:val="00B06D88"/>
    <w:rsid w:val="00B07225"/>
    <w:rsid w:val="00B07477"/>
    <w:rsid w:val="00B0748F"/>
    <w:rsid w:val="00B10046"/>
    <w:rsid w:val="00B1052F"/>
    <w:rsid w:val="00B109EB"/>
    <w:rsid w:val="00B10A0D"/>
    <w:rsid w:val="00B10FA8"/>
    <w:rsid w:val="00B110D1"/>
    <w:rsid w:val="00B114ED"/>
    <w:rsid w:val="00B1193E"/>
    <w:rsid w:val="00B11CC0"/>
    <w:rsid w:val="00B123F0"/>
    <w:rsid w:val="00B12DB1"/>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1B99"/>
    <w:rsid w:val="00B22868"/>
    <w:rsid w:val="00B22A37"/>
    <w:rsid w:val="00B22A82"/>
    <w:rsid w:val="00B2307C"/>
    <w:rsid w:val="00B230E0"/>
    <w:rsid w:val="00B2318F"/>
    <w:rsid w:val="00B23EB6"/>
    <w:rsid w:val="00B24201"/>
    <w:rsid w:val="00B24D18"/>
    <w:rsid w:val="00B24EB3"/>
    <w:rsid w:val="00B25801"/>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97"/>
    <w:rsid w:val="00B41C61"/>
    <w:rsid w:val="00B4220F"/>
    <w:rsid w:val="00B42A7C"/>
    <w:rsid w:val="00B42FE2"/>
    <w:rsid w:val="00B430B3"/>
    <w:rsid w:val="00B432BD"/>
    <w:rsid w:val="00B43430"/>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FBC"/>
    <w:rsid w:val="00B56746"/>
    <w:rsid w:val="00B56C69"/>
    <w:rsid w:val="00B56E11"/>
    <w:rsid w:val="00B576BE"/>
    <w:rsid w:val="00B57C43"/>
    <w:rsid w:val="00B57EAE"/>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051"/>
    <w:rsid w:val="00B74248"/>
    <w:rsid w:val="00B744E8"/>
    <w:rsid w:val="00B74A36"/>
    <w:rsid w:val="00B74D59"/>
    <w:rsid w:val="00B75193"/>
    <w:rsid w:val="00B759CA"/>
    <w:rsid w:val="00B75B96"/>
    <w:rsid w:val="00B75EE5"/>
    <w:rsid w:val="00B76101"/>
    <w:rsid w:val="00B76266"/>
    <w:rsid w:val="00B763EE"/>
    <w:rsid w:val="00B76989"/>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A9"/>
    <w:rsid w:val="00B84B40"/>
    <w:rsid w:val="00B84DB8"/>
    <w:rsid w:val="00B85267"/>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CE5"/>
    <w:rsid w:val="00B93733"/>
    <w:rsid w:val="00B93834"/>
    <w:rsid w:val="00B93CE9"/>
    <w:rsid w:val="00B93E84"/>
    <w:rsid w:val="00B93EA4"/>
    <w:rsid w:val="00B94292"/>
    <w:rsid w:val="00B94524"/>
    <w:rsid w:val="00B94A78"/>
    <w:rsid w:val="00B9515D"/>
    <w:rsid w:val="00B9572E"/>
    <w:rsid w:val="00B95CD2"/>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4289"/>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86C"/>
    <w:rsid w:val="00BB1D60"/>
    <w:rsid w:val="00BB2008"/>
    <w:rsid w:val="00BB270A"/>
    <w:rsid w:val="00BB28A8"/>
    <w:rsid w:val="00BB2D5A"/>
    <w:rsid w:val="00BB3443"/>
    <w:rsid w:val="00BB3696"/>
    <w:rsid w:val="00BB3A59"/>
    <w:rsid w:val="00BB3A6C"/>
    <w:rsid w:val="00BB3E4C"/>
    <w:rsid w:val="00BB4694"/>
    <w:rsid w:val="00BB487A"/>
    <w:rsid w:val="00BB4EFB"/>
    <w:rsid w:val="00BB4FAA"/>
    <w:rsid w:val="00BB5281"/>
    <w:rsid w:val="00BB5C36"/>
    <w:rsid w:val="00BB619B"/>
    <w:rsid w:val="00BB6D28"/>
    <w:rsid w:val="00BB6F80"/>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79"/>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382D"/>
    <w:rsid w:val="00BE4B57"/>
    <w:rsid w:val="00BE60B4"/>
    <w:rsid w:val="00BE66FA"/>
    <w:rsid w:val="00BE6BED"/>
    <w:rsid w:val="00BE6F8A"/>
    <w:rsid w:val="00BE751E"/>
    <w:rsid w:val="00BE779E"/>
    <w:rsid w:val="00BE7BEB"/>
    <w:rsid w:val="00BE7EB3"/>
    <w:rsid w:val="00BF03D5"/>
    <w:rsid w:val="00BF0400"/>
    <w:rsid w:val="00BF0B76"/>
    <w:rsid w:val="00BF0D0E"/>
    <w:rsid w:val="00BF0E5F"/>
    <w:rsid w:val="00BF0FA4"/>
    <w:rsid w:val="00BF1157"/>
    <w:rsid w:val="00BF1A2C"/>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EA7"/>
    <w:rsid w:val="00C04F27"/>
    <w:rsid w:val="00C04F37"/>
    <w:rsid w:val="00C04F7E"/>
    <w:rsid w:val="00C05996"/>
    <w:rsid w:val="00C05DB9"/>
    <w:rsid w:val="00C0615C"/>
    <w:rsid w:val="00C06705"/>
    <w:rsid w:val="00C06D3C"/>
    <w:rsid w:val="00C06D78"/>
    <w:rsid w:val="00C06F78"/>
    <w:rsid w:val="00C0704E"/>
    <w:rsid w:val="00C07314"/>
    <w:rsid w:val="00C0755A"/>
    <w:rsid w:val="00C0768F"/>
    <w:rsid w:val="00C0774C"/>
    <w:rsid w:val="00C07790"/>
    <w:rsid w:val="00C077D6"/>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4B53"/>
    <w:rsid w:val="00C15B8C"/>
    <w:rsid w:val="00C1680B"/>
    <w:rsid w:val="00C16A0C"/>
    <w:rsid w:val="00C1778A"/>
    <w:rsid w:val="00C177BA"/>
    <w:rsid w:val="00C17C90"/>
    <w:rsid w:val="00C17CC4"/>
    <w:rsid w:val="00C17E0D"/>
    <w:rsid w:val="00C200C6"/>
    <w:rsid w:val="00C20248"/>
    <w:rsid w:val="00C208C4"/>
    <w:rsid w:val="00C20B6E"/>
    <w:rsid w:val="00C20BC0"/>
    <w:rsid w:val="00C20D93"/>
    <w:rsid w:val="00C20E40"/>
    <w:rsid w:val="00C21308"/>
    <w:rsid w:val="00C21739"/>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27E6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0FC"/>
    <w:rsid w:val="00C452B8"/>
    <w:rsid w:val="00C45462"/>
    <w:rsid w:val="00C45645"/>
    <w:rsid w:val="00C458C0"/>
    <w:rsid w:val="00C45973"/>
    <w:rsid w:val="00C45C92"/>
    <w:rsid w:val="00C45E1E"/>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A9C"/>
    <w:rsid w:val="00C55B0E"/>
    <w:rsid w:val="00C55F69"/>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01A"/>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D1"/>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5C"/>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8DB"/>
    <w:rsid w:val="00CA0F40"/>
    <w:rsid w:val="00CA0FCD"/>
    <w:rsid w:val="00CA181B"/>
    <w:rsid w:val="00CA1DB7"/>
    <w:rsid w:val="00CA1F7B"/>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47"/>
    <w:rsid w:val="00CA7BA1"/>
    <w:rsid w:val="00CB0198"/>
    <w:rsid w:val="00CB0596"/>
    <w:rsid w:val="00CB17AC"/>
    <w:rsid w:val="00CB1CF3"/>
    <w:rsid w:val="00CB25C3"/>
    <w:rsid w:val="00CB320A"/>
    <w:rsid w:val="00CB321E"/>
    <w:rsid w:val="00CB3976"/>
    <w:rsid w:val="00CB41AB"/>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2B54"/>
    <w:rsid w:val="00CC3143"/>
    <w:rsid w:val="00CC33C3"/>
    <w:rsid w:val="00CC437A"/>
    <w:rsid w:val="00CC45A1"/>
    <w:rsid w:val="00CC5200"/>
    <w:rsid w:val="00CC5975"/>
    <w:rsid w:val="00CC599E"/>
    <w:rsid w:val="00CC5EE2"/>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2DCC"/>
    <w:rsid w:val="00CD314A"/>
    <w:rsid w:val="00CD31D1"/>
    <w:rsid w:val="00CD33C0"/>
    <w:rsid w:val="00CD35AD"/>
    <w:rsid w:val="00CD3760"/>
    <w:rsid w:val="00CD3915"/>
    <w:rsid w:val="00CD450F"/>
    <w:rsid w:val="00CD4674"/>
    <w:rsid w:val="00CD4CBF"/>
    <w:rsid w:val="00CD503E"/>
    <w:rsid w:val="00CD5553"/>
    <w:rsid w:val="00CD5745"/>
    <w:rsid w:val="00CD63B1"/>
    <w:rsid w:val="00CD66BD"/>
    <w:rsid w:val="00CD6EBB"/>
    <w:rsid w:val="00CD71B3"/>
    <w:rsid w:val="00CD777C"/>
    <w:rsid w:val="00CD7C2F"/>
    <w:rsid w:val="00CD7CD3"/>
    <w:rsid w:val="00CE029E"/>
    <w:rsid w:val="00CE02B7"/>
    <w:rsid w:val="00CE04C8"/>
    <w:rsid w:val="00CE05E8"/>
    <w:rsid w:val="00CE1616"/>
    <w:rsid w:val="00CE16AC"/>
    <w:rsid w:val="00CE1D3F"/>
    <w:rsid w:val="00CE1E14"/>
    <w:rsid w:val="00CE1E51"/>
    <w:rsid w:val="00CE2422"/>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BBC"/>
    <w:rsid w:val="00CE7F3A"/>
    <w:rsid w:val="00CF02D2"/>
    <w:rsid w:val="00CF08A7"/>
    <w:rsid w:val="00CF0AB8"/>
    <w:rsid w:val="00CF0BC7"/>
    <w:rsid w:val="00CF1003"/>
    <w:rsid w:val="00CF2337"/>
    <w:rsid w:val="00CF2CE1"/>
    <w:rsid w:val="00CF2F77"/>
    <w:rsid w:val="00CF31AB"/>
    <w:rsid w:val="00CF31D6"/>
    <w:rsid w:val="00CF3BD1"/>
    <w:rsid w:val="00CF3F2A"/>
    <w:rsid w:val="00CF4077"/>
    <w:rsid w:val="00CF427E"/>
    <w:rsid w:val="00CF49BE"/>
    <w:rsid w:val="00CF4BA2"/>
    <w:rsid w:val="00CF4DE7"/>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C5F"/>
    <w:rsid w:val="00D06EC0"/>
    <w:rsid w:val="00D06EF0"/>
    <w:rsid w:val="00D06F54"/>
    <w:rsid w:val="00D07083"/>
    <w:rsid w:val="00D0795F"/>
    <w:rsid w:val="00D07CCE"/>
    <w:rsid w:val="00D10275"/>
    <w:rsid w:val="00D10554"/>
    <w:rsid w:val="00D10B86"/>
    <w:rsid w:val="00D10F49"/>
    <w:rsid w:val="00D11837"/>
    <w:rsid w:val="00D11D1E"/>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17CF5"/>
    <w:rsid w:val="00D203F8"/>
    <w:rsid w:val="00D20549"/>
    <w:rsid w:val="00D206CF"/>
    <w:rsid w:val="00D20E67"/>
    <w:rsid w:val="00D21E5F"/>
    <w:rsid w:val="00D22808"/>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6E29"/>
    <w:rsid w:val="00D2714A"/>
    <w:rsid w:val="00D27839"/>
    <w:rsid w:val="00D30344"/>
    <w:rsid w:val="00D304C9"/>
    <w:rsid w:val="00D30DB5"/>
    <w:rsid w:val="00D3100D"/>
    <w:rsid w:val="00D31C6D"/>
    <w:rsid w:val="00D32399"/>
    <w:rsid w:val="00D329A5"/>
    <w:rsid w:val="00D32AF7"/>
    <w:rsid w:val="00D330E1"/>
    <w:rsid w:val="00D332CF"/>
    <w:rsid w:val="00D33308"/>
    <w:rsid w:val="00D33810"/>
    <w:rsid w:val="00D33A96"/>
    <w:rsid w:val="00D33AFE"/>
    <w:rsid w:val="00D33B63"/>
    <w:rsid w:val="00D33EA7"/>
    <w:rsid w:val="00D3513C"/>
    <w:rsid w:val="00D3515E"/>
    <w:rsid w:val="00D3583E"/>
    <w:rsid w:val="00D35B2F"/>
    <w:rsid w:val="00D35B76"/>
    <w:rsid w:val="00D35CBB"/>
    <w:rsid w:val="00D35E36"/>
    <w:rsid w:val="00D37391"/>
    <w:rsid w:val="00D374CE"/>
    <w:rsid w:val="00D376C7"/>
    <w:rsid w:val="00D37850"/>
    <w:rsid w:val="00D37C1A"/>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2D"/>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842"/>
    <w:rsid w:val="00D56BE0"/>
    <w:rsid w:val="00D56DF4"/>
    <w:rsid w:val="00D56E38"/>
    <w:rsid w:val="00D5734B"/>
    <w:rsid w:val="00D57553"/>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94E"/>
    <w:rsid w:val="00D63AB5"/>
    <w:rsid w:val="00D64049"/>
    <w:rsid w:val="00D64662"/>
    <w:rsid w:val="00D64DC1"/>
    <w:rsid w:val="00D658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1382"/>
    <w:rsid w:val="00D720AD"/>
    <w:rsid w:val="00D729A1"/>
    <w:rsid w:val="00D72BCE"/>
    <w:rsid w:val="00D72F7D"/>
    <w:rsid w:val="00D732D6"/>
    <w:rsid w:val="00D73532"/>
    <w:rsid w:val="00D735FA"/>
    <w:rsid w:val="00D73713"/>
    <w:rsid w:val="00D73756"/>
    <w:rsid w:val="00D73E46"/>
    <w:rsid w:val="00D73F46"/>
    <w:rsid w:val="00D74063"/>
    <w:rsid w:val="00D74628"/>
    <w:rsid w:val="00D74ADD"/>
    <w:rsid w:val="00D74C1F"/>
    <w:rsid w:val="00D74EBF"/>
    <w:rsid w:val="00D74FCA"/>
    <w:rsid w:val="00D75813"/>
    <w:rsid w:val="00D75AEF"/>
    <w:rsid w:val="00D75B43"/>
    <w:rsid w:val="00D75D97"/>
    <w:rsid w:val="00D75F1F"/>
    <w:rsid w:val="00D76001"/>
    <w:rsid w:val="00D7628D"/>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6848"/>
    <w:rsid w:val="00D87205"/>
    <w:rsid w:val="00D87600"/>
    <w:rsid w:val="00D8760F"/>
    <w:rsid w:val="00D904EF"/>
    <w:rsid w:val="00D90B35"/>
    <w:rsid w:val="00D90D62"/>
    <w:rsid w:val="00D90E6B"/>
    <w:rsid w:val="00D914B7"/>
    <w:rsid w:val="00D914C9"/>
    <w:rsid w:val="00D918FF"/>
    <w:rsid w:val="00D91B86"/>
    <w:rsid w:val="00D91E9E"/>
    <w:rsid w:val="00D91F1E"/>
    <w:rsid w:val="00D91FD3"/>
    <w:rsid w:val="00D920E2"/>
    <w:rsid w:val="00D9230E"/>
    <w:rsid w:val="00D92427"/>
    <w:rsid w:val="00D933DE"/>
    <w:rsid w:val="00D934A9"/>
    <w:rsid w:val="00D934FB"/>
    <w:rsid w:val="00D94352"/>
    <w:rsid w:val="00D94F41"/>
    <w:rsid w:val="00D94F5B"/>
    <w:rsid w:val="00D950E7"/>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07FD"/>
    <w:rsid w:val="00DA16C2"/>
    <w:rsid w:val="00DA18AC"/>
    <w:rsid w:val="00DA1D48"/>
    <w:rsid w:val="00DA1E42"/>
    <w:rsid w:val="00DA1F08"/>
    <w:rsid w:val="00DA22C1"/>
    <w:rsid w:val="00DA2CC2"/>
    <w:rsid w:val="00DA3730"/>
    <w:rsid w:val="00DA38D2"/>
    <w:rsid w:val="00DA3904"/>
    <w:rsid w:val="00DA3CE4"/>
    <w:rsid w:val="00DA42D5"/>
    <w:rsid w:val="00DA4475"/>
    <w:rsid w:val="00DA44DE"/>
    <w:rsid w:val="00DA4A65"/>
    <w:rsid w:val="00DA51E0"/>
    <w:rsid w:val="00DA582B"/>
    <w:rsid w:val="00DA596C"/>
    <w:rsid w:val="00DA5F91"/>
    <w:rsid w:val="00DA60D6"/>
    <w:rsid w:val="00DA64B9"/>
    <w:rsid w:val="00DA6553"/>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54B3"/>
    <w:rsid w:val="00DB69A6"/>
    <w:rsid w:val="00DB6B5A"/>
    <w:rsid w:val="00DB6E9E"/>
    <w:rsid w:val="00DB70AA"/>
    <w:rsid w:val="00DB720D"/>
    <w:rsid w:val="00DB7297"/>
    <w:rsid w:val="00DB7648"/>
    <w:rsid w:val="00DB7ABE"/>
    <w:rsid w:val="00DB7BCC"/>
    <w:rsid w:val="00DB7CF4"/>
    <w:rsid w:val="00DB7F73"/>
    <w:rsid w:val="00DC02B3"/>
    <w:rsid w:val="00DC03CC"/>
    <w:rsid w:val="00DC0AEF"/>
    <w:rsid w:val="00DC0C69"/>
    <w:rsid w:val="00DC12BA"/>
    <w:rsid w:val="00DC177C"/>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03C"/>
    <w:rsid w:val="00DD1411"/>
    <w:rsid w:val="00DD1875"/>
    <w:rsid w:val="00DD2511"/>
    <w:rsid w:val="00DD262C"/>
    <w:rsid w:val="00DD2E7C"/>
    <w:rsid w:val="00DD3423"/>
    <w:rsid w:val="00DD3803"/>
    <w:rsid w:val="00DD3B1A"/>
    <w:rsid w:val="00DD3BDA"/>
    <w:rsid w:val="00DD3EE6"/>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4C"/>
    <w:rsid w:val="00DE00A2"/>
    <w:rsid w:val="00DE00D1"/>
    <w:rsid w:val="00DE0304"/>
    <w:rsid w:val="00DE0CB9"/>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A09"/>
    <w:rsid w:val="00DF15FF"/>
    <w:rsid w:val="00DF1D6F"/>
    <w:rsid w:val="00DF1E4B"/>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36"/>
    <w:rsid w:val="00E034B8"/>
    <w:rsid w:val="00E0386C"/>
    <w:rsid w:val="00E03C94"/>
    <w:rsid w:val="00E03D4A"/>
    <w:rsid w:val="00E03D72"/>
    <w:rsid w:val="00E043B8"/>
    <w:rsid w:val="00E04987"/>
    <w:rsid w:val="00E049B6"/>
    <w:rsid w:val="00E0515D"/>
    <w:rsid w:val="00E05200"/>
    <w:rsid w:val="00E0556E"/>
    <w:rsid w:val="00E05C7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2C6"/>
    <w:rsid w:val="00E125B8"/>
    <w:rsid w:val="00E12CB1"/>
    <w:rsid w:val="00E12D9B"/>
    <w:rsid w:val="00E12EEB"/>
    <w:rsid w:val="00E130A4"/>
    <w:rsid w:val="00E13162"/>
    <w:rsid w:val="00E13292"/>
    <w:rsid w:val="00E132E5"/>
    <w:rsid w:val="00E134DE"/>
    <w:rsid w:val="00E140B7"/>
    <w:rsid w:val="00E14A58"/>
    <w:rsid w:val="00E156F7"/>
    <w:rsid w:val="00E157D2"/>
    <w:rsid w:val="00E15A13"/>
    <w:rsid w:val="00E16817"/>
    <w:rsid w:val="00E16DD1"/>
    <w:rsid w:val="00E178C4"/>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5E5"/>
    <w:rsid w:val="00E267B3"/>
    <w:rsid w:val="00E26A42"/>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3F3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D23"/>
    <w:rsid w:val="00E66117"/>
    <w:rsid w:val="00E66A1E"/>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4D1F"/>
    <w:rsid w:val="00E755EA"/>
    <w:rsid w:val="00E75B6D"/>
    <w:rsid w:val="00E75C28"/>
    <w:rsid w:val="00E75CEB"/>
    <w:rsid w:val="00E76050"/>
    <w:rsid w:val="00E7621A"/>
    <w:rsid w:val="00E767CD"/>
    <w:rsid w:val="00E7692D"/>
    <w:rsid w:val="00E7697B"/>
    <w:rsid w:val="00E769B8"/>
    <w:rsid w:val="00E76E39"/>
    <w:rsid w:val="00E76F80"/>
    <w:rsid w:val="00E7732E"/>
    <w:rsid w:val="00E77BF9"/>
    <w:rsid w:val="00E77F39"/>
    <w:rsid w:val="00E809F6"/>
    <w:rsid w:val="00E8114B"/>
    <w:rsid w:val="00E8159B"/>
    <w:rsid w:val="00E8208E"/>
    <w:rsid w:val="00E820D2"/>
    <w:rsid w:val="00E82CDE"/>
    <w:rsid w:val="00E83543"/>
    <w:rsid w:val="00E83760"/>
    <w:rsid w:val="00E837A4"/>
    <w:rsid w:val="00E83B2A"/>
    <w:rsid w:val="00E83CDD"/>
    <w:rsid w:val="00E84058"/>
    <w:rsid w:val="00E843A5"/>
    <w:rsid w:val="00E845A3"/>
    <w:rsid w:val="00E84702"/>
    <w:rsid w:val="00E84AE5"/>
    <w:rsid w:val="00E84C4D"/>
    <w:rsid w:val="00E84F0E"/>
    <w:rsid w:val="00E85030"/>
    <w:rsid w:val="00E85304"/>
    <w:rsid w:val="00E85C6C"/>
    <w:rsid w:val="00E85D5C"/>
    <w:rsid w:val="00E85F18"/>
    <w:rsid w:val="00E864BD"/>
    <w:rsid w:val="00E8684A"/>
    <w:rsid w:val="00E86B2C"/>
    <w:rsid w:val="00E86CFA"/>
    <w:rsid w:val="00E86EC2"/>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1C8"/>
    <w:rsid w:val="00E93879"/>
    <w:rsid w:val="00E93A2E"/>
    <w:rsid w:val="00E93BE1"/>
    <w:rsid w:val="00E93FBC"/>
    <w:rsid w:val="00E94018"/>
    <w:rsid w:val="00E94969"/>
    <w:rsid w:val="00E94BF8"/>
    <w:rsid w:val="00E954F5"/>
    <w:rsid w:val="00E95549"/>
    <w:rsid w:val="00E95731"/>
    <w:rsid w:val="00E95CFD"/>
    <w:rsid w:val="00E95D9B"/>
    <w:rsid w:val="00E9643D"/>
    <w:rsid w:val="00E9656D"/>
    <w:rsid w:val="00E966AF"/>
    <w:rsid w:val="00E96FAA"/>
    <w:rsid w:val="00E97002"/>
    <w:rsid w:val="00E973BA"/>
    <w:rsid w:val="00E9746E"/>
    <w:rsid w:val="00E974F4"/>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2A0"/>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62"/>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487"/>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6FC"/>
    <w:rsid w:val="00EE198E"/>
    <w:rsid w:val="00EE1B7B"/>
    <w:rsid w:val="00EE21AD"/>
    <w:rsid w:val="00EE2A20"/>
    <w:rsid w:val="00EE3623"/>
    <w:rsid w:val="00EE3B58"/>
    <w:rsid w:val="00EE40CD"/>
    <w:rsid w:val="00EE4275"/>
    <w:rsid w:val="00EE4454"/>
    <w:rsid w:val="00EE4AC4"/>
    <w:rsid w:val="00EE53F0"/>
    <w:rsid w:val="00EE59C6"/>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54ED"/>
    <w:rsid w:val="00F058AE"/>
    <w:rsid w:val="00F05A04"/>
    <w:rsid w:val="00F06124"/>
    <w:rsid w:val="00F0617F"/>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1A"/>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6B"/>
    <w:rsid w:val="00F22DBE"/>
    <w:rsid w:val="00F23250"/>
    <w:rsid w:val="00F23366"/>
    <w:rsid w:val="00F23DA8"/>
    <w:rsid w:val="00F23FB0"/>
    <w:rsid w:val="00F24107"/>
    <w:rsid w:val="00F24585"/>
    <w:rsid w:val="00F24868"/>
    <w:rsid w:val="00F24BFD"/>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AC1"/>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EA5"/>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8FF"/>
    <w:rsid w:val="00F679E1"/>
    <w:rsid w:val="00F67D2E"/>
    <w:rsid w:val="00F704AE"/>
    <w:rsid w:val="00F70908"/>
    <w:rsid w:val="00F709A3"/>
    <w:rsid w:val="00F71199"/>
    <w:rsid w:val="00F713DD"/>
    <w:rsid w:val="00F71D28"/>
    <w:rsid w:val="00F71FEA"/>
    <w:rsid w:val="00F72BEE"/>
    <w:rsid w:val="00F72D5F"/>
    <w:rsid w:val="00F73027"/>
    <w:rsid w:val="00F735AF"/>
    <w:rsid w:val="00F73967"/>
    <w:rsid w:val="00F73B57"/>
    <w:rsid w:val="00F74347"/>
    <w:rsid w:val="00F74BAE"/>
    <w:rsid w:val="00F74D4A"/>
    <w:rsid w:val="00F750CF"/>
    <w:rsid w:val="00F75227"/>
    <w:rsid w:val="00F75809"/>
    <w:rsid w:val="00F75C5B"/>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1D25"/>
    <w:rsid w:val="00F82204"/>
    <w:rsid w:val="00F82ED3"/>
    <w:rsid w:val="00F82F02"/>
    <w:rsid w:val="00F8353B"/>
    <w:rsid w:val="00F838D2"/>
    <w:rsid w:val="00F8400B"/>
    <w:rsid w:val="00F846CA"/>
    <w:rsid w:val="00F84850"/>
    <w:rsid w:val="00F849C2"/>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0F4"/>
    <w:rsid w:val="00F97590"/>
    <w:rsid w:val="00F97CFA"/>
    <w:rsid w:val="00FA0226"/>
    <w:rsid w:val="00FA0610"/>
    <w:rsid w:val="00FA078A"/>
    <w:rsid w:val="00FA07DB"/>
    <w:rsid w:val="00FA09C6"/>
    <w:rsid w:val="00FA0A10"/>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A86"/>
    <w:rsid w:val="00FA6261"/>
    <w:rsid w:val="00FA6489"/>
    <w:rsid w:val="00FA69BF"/>
    <w:rsid w:val="00FA6E77"/>
    <w:rsid w:val="00FA7F5C"/>
    <w:rsid w:val="00FB0504"/>
    <w:rsid w:val="00FB0949"/>
    <w:rsid w:val="00FB0F60"/>
    <w:rsid w:val="00FB0FB7"/>
    <w:rsid w:val="00FB1295"/>
    <w:rsid w:val="00FB1C99"/>
    <w:rsid w:val="00FB1C9F"/>
    <w:rsid w:val="00FB1F18"/>
    <w:rsid w:val="00FB2213"/>
    <w:rsid w:val="00FB2217"/>
    <w:rsid w:val="00FB2D49"/>
    <w:rsid w:val="00FB325E"/>
    <w:rsid w:val="00FB33BC"/>
    <w:rsid w:val="00FB349A"/>
    <w:rsid w:val="00FB361D"/>
    <w:rsid w:val="00FB39DC"/>
    <w:rsid w:val="00FB3D4A"/>
    <w:rsid w:val="00FB4071"/>
    <w:rsid w:val="00FB419C"/>
    <w:rsid w:val="00FB4210"/>
    <w:rsid w:val="00FB42D9"/>
    <w:rsid w:val="00FB4442"/>
    <w:rsid w:val="00FB46E0"/>
    <w:rsid w:val="00FB59EA"/>
    <w:rsid w:val="00FB6006"/>
    <w:rsid w:val="00FB6173"/>
    <w:rsid w:val="00FB701C"/>
    <w:rsid w:val="00FB749D"/>
    <w:rsid w:val="00FB77B4"/>
    <w:rsid w:val="00FB7E15"/>
    <w:rsid w:val="00FC0240"/>
    <w:rsid w:val="00FC0729"/>
    <w:rsid w:val="00FC0857"/>
    <w:rsid w:val="00FC0A8C"/>
    <w:rsid w:val="00FC129B"/>
    <w:rsid w:val="00FC1659"/>
    <w:rsid w:val="00FC17D9"/>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0F5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21F"/>
    <w:rsid w:val="00FE2DA3"/>
    <w:rsid w:val="00FE2F67"/>
    <w:rsid w:val="00FE319E"/>
    <w:rsid w:val="00FE425E"/>
    <w:rsid w:val="00FE47AC"/>
    <w:rsid w:val="00FE511C"/>
    <w:rsid w:val="00FE526B"/>
    <w:rsid w:val="00FE5CF5"/>
    <w:rsid w:val="00FE60C3"/>
    <w:rsid w:val="00FE613B"/>
    <w:rsid w:val="00FE619C"/>
    <w:rsid w:val="00FE68FD"/>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94717"/>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16"/>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24"/>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 w:type="paragraph" w:styleId="afe">
    <w:name w:val="footnote text"/>
    <w:basedOn w:val="a"/>
    <w:link w:val="aff"/>
    <w:uiPriority w:val="99"/>
    <w:semiHidden/>
    <w:unhideWhenUsed/>
    <w:rsid w:val="006B60B7"/>
    <w:pPr>
      <w:snapToGrid w:val="0"/>
      <w:jc w:val="left"/>
    </w:pPr>
    <w:rPr>
      <w:sz w:val="18"/>
      <w:szCs w:val="18"/>
    </w:rPr>
  </w:style>
  <w:style w:type="character" w:customStyle="1" w:styleId="aff">
    <w:name w:val="脚注文本 字符"/>
    <w:basedOn w:val="a0"/>
    <w:link w:val="afe"/>
    <w:uiPriority w:val="99"/>
    <w:semiHidden/>
    <w:rsid w:val="006B60B7"/>
    <w:rPr>
      <w:sz w:val="18"/>
      <w:szCs w:val="18"/>
      <w:lang w:val="en-GB"/>
    </w:rPr>
  </w:style>
  <w:style w:type="character" w:styleId="aff0">
    <w:name w:val="footnote reference"/>
    <w:basedOn w:val="a0"/>
    <w:uiPriority w:val="99"/>
    <w:semiHidden/>
    <w:unhideWhenUsed/>
    <w:rsid w:val="006B60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876116183">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5BB492-F6A1-44FA-8687-04CC20F23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2630</Words>
  <Characters>14992</Characters>
  <Application>Microsoft Office Word</Application>
  <DocSecurity>0</DocSecurity>
  <Lines>124</Lines>
  <Paragraphs>35</Paragraphs>
  <ScaleCrop>false</ScaleCrop>
  <Company>OPPO</Company>
  <LinksUpToDate>false</LinksUpToDate>
  <CharactersWithSpaces>17587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(Xiaox)</cp:lastModifiedBy>
  <cp:revision>5</cp:revision>
  <cp:lastPrinted>2018-04-04T09:40:00Z</cp:lastPrinted>
  <dcterms:created xsi:type="dcterms:W3CDTF">2022-11-03T09:28:00Z</dcterms:created>
  <dcterms:modified xsi:type="dcterms:W3CDTF">2022-11-04T06:36:00Z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